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312" w:beforeLines="100" w:after="312" w:afterLines="100"/>
        <w:jc w:val="center"/>
        <w:rPr>
          <w:rFonts w:hint="eastAsia" w:ascii="黑体" w:hAnsi="黑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竞价邀请函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hAnsi="宋体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hAnsi="宋体"/>
          <w:b w:val="0"/>
          <w:bCs/>
          <w:sz w:val="32"/>
          <w:szCs w:val="32"/>
          <w:u w:val="single"/>
          <w:lang w:val="en-US" w:eastAsia="zh-CN"/>
        </w:rPr>
        <w:t>2023年劳务供应商备选库</w:t>
      </w:r>
      <w:r>
        <w:rPr>
          <w:rFonts w:hint="eastAsia" w:hAnsi="宋体"/>
          <w:b w:val="0"/>
          <w:bCs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hAnsi="宋体"/>
          <w:b w:val="0"/>
          <w:bCs/>
          <w:sz w:val="32"/>
          <w:szCs w:val="32"/>
          <w:lang w:val="en-US" w:eastAsia="zh-CN"/>
        </w:rPr>
      </w:pPr>
      <w:r>
        <w:rPr>
          <w:rFonts w:hint="eastAsia" w:hAnsi="宋体"/>
          <w:b w:val="0"/>
          <w:bCs/>
          <w:sz w:val="32"/>
          <w:szCs w:val="32"/>
          <w:lang w:val="en-US" w:eastAsia="zh-CN"/>
        </w:rPr>
        <w:t>经我公司研究，为确保做好高速公路</w:t>
      </w:r>
      <w:r>
        <w:rPr>
          <w:rFonts w:hint="eastAsia" w:hAnsi="宋体"/>
          <w:b w:val="0"/>
          <w:bCs/>
          <w:sz w:val="32"/>
          <w:szCs w:val="32"/>
          <w:u w:val="single"/>
          <w:lang w:val="en-US" w:eastAsia="zh-CN"/>
        </w:rPr>
        <w:t>收费站办公楼及生活设施</w:t>
      </w:r>
      <w:r>
        <w:rPr>
          <w:rFonts w:hint="eastAsia" w:hAnsi="宋体"/>
          <w:b w:val="0"/>
          <w:bCs/>
          <w:sz w:val="32"/>
          <w:szCs w:val="32"/>
          <w:lang w:val="en-US" w:eastAsia="zh-CN"/>
        </w:rPr>
        <w:t>维修工作，我公司邀请贵单位于</w:t>
      </w:r>
      <w:r>
        <w:rPr>
          <w:rFonts w:hint="eastAsia" w:hAnsi="宋体"/>
          <w:b w:val="0"/>
          <w:bCs/>
          <w:color w:val="FF0000"/>
          <w:sz w:val="32"/>
          <w:szCs w:val="32"/>
          <w:u w:val="single"/>
          <w:lang w:val="en-US" w:eastAsia="zh-CN"/>
        </w:rPr>
        <w:t>2024年1月12日9点00分</w:t>
      </w:r>
      <w:r>
        <w:rPr>
          <w:rFonts w:hint="eastAsia" w:hAnsi="宋体"/>
          <w:b w:val="0"/>
          <w:bCs/>
          <w:sz w:val="32"/>
          <w:szCs w:val="32"/>
          <w:lang w:val="en-US" w:eastAsia="zh-CN"/>
        </w:rPr>
        <w:t>参加</w:t>
      </w:r>
      <w:r>
        <w:rPr>
          <w:rFonts w:hint="eastAsia" w:hAnsi="宋体"/>
          <w:b w:val="0"/>
          <w:bCs/>
          <w:sz w:val="32"/>
          <w:szCs w:val="32"/>
          <w:u w:val="single"/>
          <w:lang w:val="en-US" w:eastAsia="zh-CN"/>
        </w:rPr>
        <w:t>宁夏交通科学研究所有限公司2024年高速公路路域环境整治项目（第一批）</w:t>
      </w:r>
      <w:r>
        <w:rPr>
          <w:rFonts w:hint="eastAsia" w:hAnsi="宋体"/>
          <w:b w:val="0"/>
          <w:bCs/>
          <w:sz w:val="32"/>
          <w:szCs w:val="32"/>
          <w:lang w:val="en-US" w:eastAsia="zh-CN"/>
        </w:rPr>
        <w:t>竞价活动。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hAnsi="宋体"/>
          <w:b w:val="0"/>
          <w:bCs/>
          <w:sz w:val="32"/>
          <w:szCs w:val="32"/>
          <w:lang w:val="en-US" w:eastAsia="zh-CN"/>
        </w:rPr>
      </w:pPr>
      <w:r>
        <w:rPr>
          <w:rFonts w:hint="eastAsia" w:hAnsi="宋体"/>
          <w:b w:val="0"/>
          <w:bCs/>
          <w:sz w:val="32"/>
          <w:szCs w:val="32"/>
          <w:lang w:val="en-US" w:eastAsia="zh-CN"/>
        </w:rPr>
        <w:t>一、标段划分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hAnsi="宋体"/>
          <w:b w:val="0"/>
          <w:bCs/>
          <w:sz w:val="32"/>
          <w:szCs w:val="32"/>
          <w:lang w:val="en-US" w:eastAsia="zh-CN"/>
        </w:rPr>
      </w:pPr>
      <w:r>
        <w:rPr>
          <w:rFonts w:hint="eastAsia" w:hAnsi="宋体"/>
          <w:b w:val="0"/>
          <w:bCs/>
          <w:sz w:val="32"/>
          <w:szCs w:val="32"/>
          <w:lang w:val="en-US" w:eastAsia="zh-CN"/>
        </w:rPr>
        <w:t>本项目划分为1个标段：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hAnsi="宋体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hAnsi="宋体"/>
          <w:b w:val="0"/>
          <w:bCs/>
          <w:sz w:val="32"/>
          <w:szCs w:val="32"/>
          <w:u w:val="single"/>
          <w:lang w:val="en-US" w:eastAsia="zh-CN"/>
        </w:rPr>
        <w:t>宁夏交通科学研究所有限公司2024年高速公路路域环境整治项目（第一批）</w:t>
      </w:r>
      <w:r>
        <w:rPr>
          <w:rFonts w:hint="eastAsia" w:hAnsi="宋体" w:eastAsia="宋体" w:cs="Times New Roman"/>
          <w:b w:val="0"/>
          <w:bCs/>
          <w:sz w:val="32"/>
          <w:szCs w:val="32"/>
          <w:u w:val="singl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hAnsi="宋体"/>
          <w:b w:val="0"/>
          <w:bCs/>
          <w:sz w:val="32"/>
          <w:szCs w:val="32"/>
          <w:lang w:val="en-US" w:eastAsia="zh-CN"/>
        </w:rPr>
      </w:pPr>
      <w:r>
        <w:rPr>
          <w:rFonts w:hint="eastAsia" w:hAnsi="宋体"/>
          <w:b w:val="0"/>
          <w:bCs/>
          <w:sz w:val="32"/>
          <w:szCs w:val="32"/>
          <w:lang w:val="en-US" w:eastAsia="zh-CN"/>
        </w:rPr>
        <w:t>二、竞价地点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hAnsi="宋体"/>
          <w:b w:val="0"/>
          <w:bCs/>
          <w:sz w:val="32"/>
          <w:szCs w:val="32"/>
          <w:lang w:val="en-US" w:eastAsia="zh-CN"/>
        </w:rPr>
      </w:pPr>
      <w:r>
        <w:rPr>
          <w:rFonts w:hint="eastAsia" w:hAnsi="宋体"/>
          <w:b w:val="0"/>
          <w:bCs/>
          <w:sz w:val="32"/>
          <w:szCs w:val="32"/>
          <w:lang w:val="en-US" w:eastAsia="zh-CN"/>
        </w:rPr>
        <w:t>宁夏银川市兴庆区太阳都市花园东侧营业房C-2三楼会议室。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hAnsi="宋体"/>
          <w:b w:val="0"/>
          <w:bCs/>
          <w:sz w:val="32"/>
          <w:szCs w:val="32"/>
          <w:lang w:val="en-US" w:eastAsia="zh-CN"/>
        </w:rPr>
      </w:pPr>
      <w:r>
        <w:rPr>
          <w:rFonts w:hint="eastAsia" w:hAnsi="宋体"/>
          <w:b w:val="0"/>
          <w:bCs/>
          <w:sz w:val="32"/>
          <w:szCs w:val="32"/>
          <w:lang w:val="en-US" w:eastAsia="zh-CN"/>
        </w:rPr>
        <w:t>三、报价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hAnsi="宋体"/>
          <w:b w:val="0"/>
          <w:bCs/>
          <w:sz w:val="32"/>
          <w:szCs w:val="32"/>
          <w:lang w:val="en-US" w:eastAsia="zh-CN"/>
        </w:rPr>
      </w:pPr>
      <w:r>
        <w:rPr>
          <w:rFonts w:hint="eastAsia" w:hAnsi="宋体"/>
          <w:b w:val="0"/>
          <w:bCs/>
          <w:sz w:val="32"/>
          <w:szCs w:val="32"/>
          <w:lang w:val="en-US" w:eastAsia="zh-CN"/>
        </w:rPr>
        <w:t>（一）工程数量为暂估数量，第一轮报价时须填写《竞争性谈判记录表(第一轮)》（报价时必须同时提供，否则不予接受报价），第二轮及之后的报价只填写《竞争性谈判记录表(第**轮)》，总价降幅等同于单价降幅（以限价为基准），所有报价均不含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hAnsi="宋体"/>
          <w:b w:val="0"/>
          <w:bCs/>
          <w:sz w:val="32"/>
          <w:szCs w:val="32"/>
          <w:lang w:val="en-US" w:eastAsia="zh-CN"/>
        </w:rPr>
      </w:pPr>
      <w:r>
        <w:rPr>
          <w:rFonts w:hint="eastAsia" w:hAnsi="宋体"/>
          <w:b w:val="0"/>
          <w:bCs/>
          <w:sz w:val="32"/>
          <w:szCs w:val="32"/>
          <w:lang w:val="en-US" w:eastAsia="zh-CN"/>
        </w:rPr>
        <w:t>（二）供应商填报的</w:t>
      </w:r>
      <w:r>
        <w:rPr>
          <w:rFonts w:hint="eastAsia" w:hAnsi="宋体"/>
          <w:b w:val="0"/>
          <w:bCs/>
          <w:color w:val="FF0000"/>
          <w:sz w:val="32"/>
          <w:szCs w:val="32"/>
          <w:lang w:val="en-US" w:eastAsia="zh-CN"/>
        </w:rPr>
        <w:t>单价</w:t>
      </w:r>
      <w:r>
        <w:rPr>
          <w:rFonts w:hint="eastAsia" w:hAnsi="宋体"/>
          <w:b w:val="0"/>
          <w:bCs/>
          <w:sz w:val="32"/>
          <w:szCs w:val="32"/>
          <w:lang w:val="en-US" w:eastAsia="zh-CN"/>
        </w:rPr>
        <w:t>不能超过清单规定的</w:t>
      </w:r>
      <w:r>
        <w:rPr>
          <w:rFonts w:hint="eastAsia" w:hAnsi="宋体"/>
          <w:b w:val="0"/>
          <w:bCs/>
          <w:color w:val="FF0000"/>
          <w:sz w:val="32"/>
          <w:szCs w:val="32"/>
          <w:lang w:val="en-US" w:eastAsia="zh-CN"/>
        </w:rPr>
        <w:t>单价，</w:t>
      </w:r>
      <w:r>
        <w:rPr>
          <w:rFonts w:hint="eastAsia" w:hAnsi="宋体"/>
          <w:b w:val="0"/>
          <w:bCs/>
          <w:sz w:val="32"/>
          <w:szCs w:val="32"/>
          <w:lang w:val="en-US" w:eastAsia="zh-CN"/>
        </w:rPr>
        <w:t>且所报总价不能超出总限价。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hAnsi="宋体"/>
          <w:b w:val="0"/>
          <w:bCs/>
          <w:sz w:val="32"/>
          <w:szCs w:val="32"/>
          <w:lang w:val="en-US" w:eastAsia="zh-CN"/>
        </w:rPr>
      </w:pPr>
      <w:r>
        <w:rPr>
          <w:rFonts w:hint="eastAsia" w:hAnsi="宋体"/>
          <w:b w:val="0"/>
          <w:bCs/>
          <w:sz w:val="32"/>
          <w:szCs w:val="32"/>
          <w:lang w:val="en-US" w:eastAsia="zh-CN"/>
        </w:rPr>
        <w:t>（三）本次总限价为：409743.40 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hAnsi="宋体"/>
          <w:b w:val="0"/>
          <w:bCs/>
          <w:sz w:val="32"/>
          <w:szCs w:val="32"/>
          <w:lang w:val="en-US" w:eastAsia="zh-CN"/>
        </w:rPr>
      </w:pPr>
      <w:r>
        <w:rPr>
          <w:rFonts w:hint="eastAsia" w:hAnsi="宋体"/>
          <w:b w:val="0"/>
          <w:bCs/>
          <w:sz w:val="32"/>
          <w:szCs w:val="32"/>
          <w:lang w:val="en-US" w:eastAsia="zh-CN"/>
        </w:rPr>
        <w:t>（四）工程量清单中竞价人没有填入单价或价格的子目，其费用视为已分摊在工程量清单中其他相关子目的单价或价格之中；图纸中所列工程数量仅是提供资料，不是工程量清单的外延。当图纸与工程量清单所列数量不一致时，以工程量清单所列的报价为计价依据，工程数量据实计量且不能超出设计图纸范围，除变更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hAnsi="宋体"/>
          <w:b w:val="0"/>
          <w:bCs/>
          <w:sz w:val="32"/>
          <w:szCs w:val="32"/>
          <w:lang w:val="en-US" w:eastAsia="zh-CN"/>
        </w:rPr>
      </w:pPr>
      <w:r>
        <w:rPr>
          <w:rFonts w:hint="eastAsia" w:hAnsi="宋体"/>
          <w:b w:val="0"/>
          <w:bCs/>
          <w:sz w:val="32"/>
          <w:szCs w:val="32"/>
          <w:lang w:val="en-US" w:eastAsia="zh-CN"/>
        </w:rPr>
        <w:t>四、中标后请在2天内进入施工现场，否则按照自动弃标处理。合同签订前请及时缴纳履约保证金。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hAnsi="宋体"/>
          <w:b w:val="0"/>
          <w:bCs/>
          <w:sz w:val="32"/>
          <w:szCs w:val="32"/>
          <w:lang w:val="en-US" w:eastAsia="zh-CN"/>
        </w:rPr>
        <w:t>五、请所有供应商法定代表人或授权委托人准时参会（提供授权委托书）</w:t>
      </w:r>
      <w:r>
        <w:rPr>
          <w:rFonts w:hint="eastAsia" w:hAnsi="宋体"/>
          <w:b w:val="0"/>
          <w:bCs/>
          <w:color w:val="auto"/>
          <w:sz w:val="32"/>
          <w:szCs w:val="32"/>
          <w:lang w:val="en-US" w:eastAsia="zh-CN"/>
        </w:rPr>
        <w:t xml:space="preserve">，未参会或未回复的供应商视为自愿放弃本次报价资格，将按照公司相关办法进行处罚。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120" w:firstLineChars="1600"/>
        <w:textAlignment w:val="auto"/>
        <w:rPr>
          <w:rFonts w:hint="eastAsia" w:hAnsi="宋体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120" w:firstLineChars="1600"/>
        <w:textAlignment w:val="auto"/>
        <w:rPr>
          <w:rFonts w:hint="eastAsia" w:hAnsi="宋体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120" w:firstLineChars="1600"/>
        <w:textAlignment w:val="auto"/>
        <w:rPr>
          <w:rFonts w:hint="default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hAnsi="宋体"/>
          <w:b w:val="0"/>
          <w:bCs/>
          <w:color w:val="auto"/>
          <w:sz w:val="32"/>
          <w:szCs w:val="32"/>
          <w:lang w:val="en-US" w:eastAsia="zh-CN"/>
        </w:rPr>
        <w:t xml:space="preserve">宁夏交通科学研究所有限公司     </w:t>
      </w:r>
    </w:p>
    <w:p>
      <w:pPr>
        <w:jc w:val="center"/>
        <w:rPr>
          <w:rFonts w:hAnsi="宋体"/>
          <w:b/>
          <w:sz w:val="24"/>
          <w:szCs w:val="24"/>
        </w:rPr>
        <w:sectPr>
          <w:pgSz w:w="11906" w:h="16838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hAnsi="宋体"/>
          <w:b w:val="0"/>
          <w:bCs/>
          <w:color w:val="auto"/>
          <w:sz w:val="32"/>
          <w:szCs w:val="32"/>
          <w:lang w:val="en-US" w:eastAsia="zh-CN"/>
        </w:rPr>
        <w:t xml:space="preserve">                                    2024年1月11日</w:t>
      </w:r>
    </w:p>
    <w:p>
      <w:pPr>
        <w:spacing w:line="0" w:lineRule="atLeast"/>
        <w:jc w:val="center"/>
        <w:rPr>
          <w:rFonts w:hint="eastAsia" w:ascii="黑体" w:hAnsi="黑体" w:eastAsia="黑体" w:cs="黑体"/>
          <w:b/>
          <w:bCs/>
          <w:spacing w:val="20"/>
          <w:sz w:val="52"/>
          <w:szCs w:val="52"/>
        </w:rPr>
      </w:pPr>
    </w:p>
    <w:p>
      <w:pPr>
        <w:spacing w:line="0" w:lineRule="atLeast"/>
        <w:jc w:val="center"/>
        <w:rPr>
          <w:rFonts w:ascii="黑体" w:hAnsi="黑体" w:eastAsia="黑体" w:cs="Times New Roman"/>
          <w:b/>
          <w:bCs/>
          <w:spacing w:val="20"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pacing w:val="20"/>
          <w:sz w:val="52"/>
          <w:szCs w:val="52"/>
        </w:rPr>
        <w:t>竞争性</w:t>
      </w:r>
      <w:r>
        <w:rPr>
          <w:rFonts w:hint="eastAsia" w:ascii="黑体" w:hAnsi="黑体" w:eastAsia="黑体" w:cs="黑体"/>
          <w:b/>
          <w:bCs/>
          <w:spacing w:val="20"/>
          <w:sz w:val="52"/>
          <w:szCs w:val="52"/>
          <w:lang w:val="en-US" w:eastAsia="zh-CN"/>
        </w:rPr>
        <w:t>谈判</w:t>
      </w:r>
      <w:r>
        <w:rPr>
          <w:rFonts w:hint="eastAsia" w:ascii="黑体" w:hAnsi="黑体" w:eastAsia="黑体" w:cs="黑体"/>
          <w:b/>
          <w:bCs/>
          <w:spacing w:val="20"/>
          <w:sz w:val="52"/>
          <w:szCs w:val="52"/>
        </w:rPr>
        <w:t>记录表(第</w:t>
      </w:r>
      <w:r>
        <w:rPr>
          <w:rFonts w:hint="eastAsia" w:ascii="黑体" w:hAnsi="黑体" w:eastAsia="黑体" w:cs="黑体"/>
          <w:b/>
          <w:bCs/>
          <w:spacing w:val="20"/>
          <w:sz w:val="52"/>
          <w:szCs w:val="52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spacing w:val="20"/>
          <w:sz w:val="52"/>
          <w:szCs w:val="52"/>
        </w:rPr>
        <w:t>轮)</w:t>
      </w:r>
    </w:p>
    <w:p>
      <w:pPr>
        <w:spacing w:line="500" w:lineRule="exact"/>
        <w:jc w:val="left"/>
        <w:rPr>
          <w:rFonts w:hint="eastAsia" w:ascii="Times New Roman" w:hAnsi="宋体" w:cs="宋体"/>
          <w:sz w:val="28"/>
          <w:szCs w:val="28"/>
          <w:u w:val="single"/>
          <w:lang w:val="zh-CN" w:eastAsia="zh-CN"/>
        </w:rPr>
      </w:pPr>
      <w:r>
        <w:rPr>
          <w:rFonts w:hint="eastAsia" w:ascii="Times New Roman" w:hAnsi="宋体" w:cs="宋体"/>
          <w:sz w:val="28"/>
          <w:szCs w:val="28"/>
        </w:rPr>
        <w:t>项目名称：</w:t>
      </w:r>
      <w:r>
        <w:rPr>
          <w:rFonts w:hint="eastAsia" w:hAnsi="宋体"/>
          <w:b w:val="0"/>
          <w:bCs/>
          <w:sz w:val="32"/>
          <w:szCs w:val="32"/>
          <w:u w:val="single"/>
          <w:lang w:val="en-US" w:eastAsia="zh-CN"/>
        </w:rPr>
        <w:t>宁夏交通科学研究所有限公司2024年高速公路路域环境整治项目（第一批）</w:t>
      </w:r>
    </w:p>
    <w:p>
      <w:pPr>
        <w:spacing w:line="500" w:lineRule="exact"/>
        <w:ind w:firstLine="281" w:firstLineChars="100"/>
        <w:jc w:val="left"/>
        <w:rPr>
          <w:rFonts w:ascii="Times New Roman" w:hAnsi="宋体" w:cs="宋体"/>
          <w:b/>
          <w:bCs/>
          <w:sz w:val="28"/>
          <w:szCs w:val="28"/>
        </w:rPr>
      </w:pPr>
      <w:r>
        <w:rPr>
          <w:rFonts w:hint="eastAsia" w:ascii="Times New Roman" w:hAnsi="宋体" w:cs="宋体"/>
          <w:b/>
          <w:bCs/>
          <w:sz w:val="28"/>
          <w:szCs w:val="28"/>
        </w:rPr>
        <w:t>报价时间：202</w:t>
      </w:r>
      <w:r>
        <w:rPr>
          <w:rFonts w:hint="eastAsia" w:ascii="Times New Roman" w:hAnsi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Times New Roman" w:hAnsi="宋体" w:cs="宋体"/>
          <w:b/>
          <w:bCs/>
          <w:sz w:val="28"/>
          <w:szCs w:val="28"/>
        </w:rPr>
        <w:t>年</w:t>
      </w:r>
      <w:r>
        <w:rPr>
          <w:rFonts w:hint="eastAsia" w:ascii="Times New Roman" w:hAnsi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宋体" w:cs="宋体"/>
          <w:b/>
          <w:bCs/>
          <w:sz w:val="28"/>
          <w:szCs w:val="28"/>
        </w:rPr>
        <w:t>月</w:t>
      </w:r>
      <w:r>
        <w:rPr>
          <w:rFonts w:hint="eastAsia" w:ascii="Times New Roman" w:hAnsi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宋体" w:cs="宋体"/>
          <w:b/>
          <w:bCs/>
          <w:sz w:val="28"/>
          <w:szCs w:val="28"/>
        </w:rPr>
        <w:t>日</w:t>
      </w:r>
    </w:p>
    <w:tbl>
      <w:tblPr>
        <w:tblStyle w:val="8"/>
        <w:tblW w:w="138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3231"/>
        <w:gridCol w:w="1635"/>
        <w:gridCol w:w="4080"/>
        <w:gridCol w:w="2105"/>
        <w:gridCol w:w="20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序号</w:t>
            </w:r>
          </w:p>
        </w:tc>
        <w:tc>
          <w:tcPr>
            <w:tcW w:w="3231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报价单位名称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组别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jc w:val="center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总报价（元）</w:t>
            </w:r>
          </w:p>
        </w:tc>
        <w:tc>
          <w:tcPr>
            <w:tcW w:w="2105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报价单位法定代表人或委托代理人签字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1</w:t>
            </w:r>
          </w:p>
        </w:tc>
        <w:tc>
          <w:tcPr>
            <w:tcW w:w="3231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jc w:val="both"/>
              <w:rPr>
                <w:rFonts w:hint="eastAsia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大写金额：</w:t>
            </w:r>
          </w:p>
          <w:p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小写金额：</w:t>
            </w:r>
          </w:p>
        </w:tc>
        <w:tc>
          <w:tcPr>
            <w:tcW w:w="2105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19" w:type="dxa"/>
            <w:noWrap w:val="0"/>
            <w:vAlign w:val="center"/>
          </w:tcPr>
          <w:p>
            <w:pPr>
              <w:jc w:val="center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单价（元）下浮比例同总价下浮比例一致。</w:t>
            </w:r>
          </w:p>
        </w:tc>
      </w:tr>
    </w:tbl>
    <w:p>
      <w:pPr>
        <w:ind w:left="720" w:firstLine="480"/>
        <w:rPr>
          <w:rFonts w:hint="default"/>
          <w:sz w:val="24"/>
          <w:szCs w:val="24"/>
          <w:lang w:val="en-US" w:eastAsia="zh-CN"/>
        </w:rPr>
      </w:pPr>
      <w:r>
        <w:rPr>
          <w:rFonts w:hint="eastAsia" w:cs="Times New Roman"/>
          <w:sz w:val="28"/>
          <w:szCs w:val="28"/>
        </w:rPr>
        <w:t>采购人：宁夏交通科学研究所有限公司                   监督人员</w:t>
      </w:r>
      <w:r>
        <w:rPr>
          <w:rFonts w:hint="eastAsia" w:cs="Times New Roman"/>
          <w:sz w:val="28"/>
          <w:szCs w:val="28"/>
          <w:lang w:eastAsia="zh-CN"/>
        </w:rPr>
        <w:t>：</w:t>
      </w:r>
      <w:r>
        <w:rPr>
          <w:rFonts w:hint="eastAsia" w:cs="Times New Roman"/>
          <w:sz w:val="28"/>
          <w:szCs w:val="28"/>
          <w:lang w:val="en-US" w:eastAsia="zh-CN"/>
        </w:rPr>
        <w:t xml:space="preserve">               工作人员：</w:t>
      </w: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pStyle w:val="2"/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pStyle w:val="2"/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pStyle w:val="2"/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spacing w:line="0" w:lineRule="atLeast"/>
        <w:jc w:val="center"/>
        <w:rPr>
          <w:rFonts w:ascii="黑体" w:hAnsi="黑体" w:eastAsia="黑体" w:cs="Times New Roman"/>
          <w:b/>
          <w:bCs/>
          <w:spacing w:val="20"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pacing w:val="20"/>
          <w:sz w:val="52"/>
          <w:szCs w:val="52"/>
        </w:rPr>
        <w:t>竞争性</w:t>
      </w:r>
      <w:r>
        <w:rPr>
          <w:rFonts w:hint="eastAsia" w:ascii="黑体" w:hAnsi="黑体" w:eastAsia="黑体" w:cs="黑体"/>
          <w:b/>
          <w:bCs/>
          <w:spacing w:val="20"/>
          <w:sz w:val="52"/>
          <w:szCs w:val="52"/>
          <w:lang w:val="en-US" w:eastAsia="zh-CN"/>
        </w:rPr>
        <w:t>谈判</w:t>
      </w:r>
      <w:r>
        <w:rPr>
          <w:rFonts w:hint="eastAsia" w:ascii="黑体" w:hAnsi="黑体" w:eastAsia="黑体" w:cs="黑体"/>
          <w:b/>
          <w:bCs/>
          <w:spacing w:val="20"/>
          <w:sz w:val="52"/>
          <w:szCs w:val="52"/>
        </w:rPr>
        <w:t>记录表(第</w:t>
      </w:r>
      <w:r>
        <w:rPr>
          <w:rFonts w:hint="eastAsia" w:ascii="黑体" w:hAnsi="黑体" w:eastAsia="黑体" w:cs="黑体"/>
          <w:b/>
          <w:bCs/>
          <w:spacing w:val="20"/>
          <w:sz w:val="52"/>
          <w:szCs w:val="52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spacing w:val="20"/>
          <w:sz w:val="52"/>
          <w:szCs w:val="52"/>
        </w:rPr>
        <w:t>轮)</w:t>
      </w:r>
    </w:p>
    <w:p>
      <w:pPr>
        <w:spacing w:line="500" w:lineRule="exact"/>
        <w:jc w:val="both"/>
        <w:rPr>
          <w:rFonts w:hint="eastAsia" w:ascii="Times New Roman" w:hAnsi="宋体" w:cs="宋体"/>
          <w:sz w:val="28"/>
          <w:szCs w:val="28"/>
          <w:u w:val="single"/>
          <w:lang w:val="zh-CN" w:eastAsia="zh-CN"/>
        </w:rPr>
      </w:pPr>
      <w:r>
        <w:rPr>
          <w:rFonts w:hint="eastAsia" w:ascii="Times New Roman" w:hAnsi="宋体" w:cs="宋体"/>
          <w:sz w:val="28"/>
          <w:szCs w:val="28"/>
        </w:rPr>
        <w:t>项目名称：</w:t>
      </w:r>
      <w:r>
        <w:rPr>
          <w:rFonts w:hint="eastAsia" w:hAnsi="宋体"/>
          <w:b w:val="0"/>
          <w:bCs/>
          <w:sz w:val="32"/>
          <w:szCs w:val="32"/>
          <w:u w:val="single"/>
          <w:lang w:val="en-US" w:eastAsia="zh-CN"/>
        </w:rPr>
        <w:t>宁夏交通科学研究所有限公司2024年高速公路路域环境整治项目（第一批）</w:t>
      </w:r>
    </w:p>
    <w:p>
      <w:pPr>
        <w:spacing w:line="500" w:lineRule="exact"/>
        <w:jc w:val="left"/>
        <w:rPr>
          <w:rFonts w:ascii="Times New Roman" w:hAnsi="宋体" w:cs="宋体"/>
          <w:b/>
          <w:bCs/>
          <w:sz w:val="28"/>
          <w:szCs w:val="28"/>
        </w:rPr>
      </w:pPr>
      <w:r>
        <w:rPr>
          <w:rFonts w:hint="eastAsia" w:ascii="Times New Roman" w:hAnsi="宋体" w:cs="宋体"/>
          <w:b/>
          <w:bCs/>
          <w:sz w:val="28"/>
          <w:szCs w:val="28"/>
        </w:rPr>
        <w:t>报价时间：202</w:t>
      </w:r>
      <w:r>
        <w:rPr>
          <w:rFonts w:hint="eastAsia" w:ascii="Times New Roman" w:hAnsi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Times New Roman" w:hAnsi="宋体" w:cs="宋体"/>
          <w:b/>
          <w:bCs/>
          <w:sz w:val="28"/>
          <w:szCs w:val="28"/>
        </w:rPr>
        <w:t>年</w:t>
      </w:r>
      <w:r>
        <w:rPr>
          <w:rFonts w:hint="eastAsia" w:ascii="Times New Roman" w:hAnsi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宋体" w:cs="宋体"/>
          <w:b/>
          <w:bCs/>
          <w:sz w:val="28"/>
          <w:szCs w:val="28"/>
        </w:rPr>
        <w:t>月</w:t>
      </w:r>
      <w:r>
        <w:rPr>
          <w:rFonts w:hint="eastAsia" w:ascii="Times New Roman" w:hAnsi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宋体" w:cs="宋体"/>
          <w:b/>
          <w:bCs/>
          <w:sz w:val="28"/>
          <w:szCs w:val="28"/>
        </w:rPr>
        <w:t>日</w:t>
      </w:r>
    </w:p>
    <w:tbl>
      <w:tblPr>
        <w:tblStyle w:val="8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3440"/>
        <w:gridCol w:w="1739"/>
        <w:gridCol w:w="4342"/>
        <w:gridCol w:w="2239"/>
        <w:gridCol w:w="21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295" w:type="pct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序号</w:t>
            </w:r>
          </w:p>
        </w:tc>
        <w:tc>
          <w:tcPr>
            <w:tcW w:w="1163" w:type="pct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报价单位名称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组别</w:t>
            </w:r>
          </w:p>
        </w:tc>
        <w:tc>
          <w:tcPr>
            <w:tcW w:w="1468" w:type="pct"/>
            <w:noWrap w:val="0"/>
            <w:vAlign w:val="center"/>
          </w:tcPr>
          <w:p>
            <w:pPr>
              <w:jc w:val="center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总报价（元）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报价单位法定代表人或委托代理人签字</w:t>
            </w:r>
          </w:p>
        </w:tc>
        <w:tc>
          <w:tcPr>
            <w:tcW w:w="726" w:type="pct"/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  <w:jc w:val="center"/>
        </w:trPr>
        <w:tc>
          <w:tcPr>
            <w:tcW w:w="295" w:type="pct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1</w:t>
            </w:r>
          </w:p>
        </w:tc>
        <w:tc>
          <w:tcPr>
            <w:tcW w:w="1163" w:type="pct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8" w:type="pct"/>
            <w:noWrap w:val="0"/>
            <w:vAlign w:val="center"/>
          </w:tcPr>
          <w:p>
            <w:pPr>
              <w:jc w:val="center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68" w:type="pct"/>
            <w:noWrap w:val="0"/>
            <w:vAlign w:val="center"/>
          </w:tcPr>
          <w:p>
            <w:pPr>
              <w:jc w:val="both"/>
              <w:rPr>
                <w:rFonts w:hint="eastAsia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大写金额：</w:t>
            </w:r>
          </w:p>
          <w:p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小写金额：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26" w:type="pct"/>
            <w:noWrap w:val="0"/>
            <w:vAlign w:val="center"/>
          </w:tcPr>
          <w:p>
            <w:pPr>
              <w:jc w:val="center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单价（元）下浮比例同总价下浮比例一致。</w:t>
            </w:r>
          </w:p>
        </w:tc>
      </w:tr>
    </w:tbl>
    <w:p>
      <w:pPr>
        <w:ind w:left="720" w:firstLine="480"/>
        <w:rPr>
          <w:rFonts w:hint="default"/>
          <w:sz w:val="24"/>
          <w:szCs w:val="24"/>
          <w:lang w:val="en-US" w:eastAsia="zh-CN"/>
        </w:rPr>
      </w:pPr>
      <w:r>
        <w:rPr>
          <w:rFonts w:hint="eastAsia" w:cs="Times New Roman"/>
          <w:sz w:val="28"/>
          <w:szCs w:val="28"/>
        </w:rPr>
        <w:t>采购人：宁夏交通科学研究所有限公司                   监督人员</w:t>
      </w:r>
      <w:r>
        <w:rPr>
          <w:rFonts w:hint="eastAsia" w:cs="Times New Roman"/>
          <w:sz w:val="28"/>
          <w:szCs w:val="28"/>
          <w:lang w:eastAsia="zh-CN"/>
        </w:rPr>
        <w:t>：</w:t>
      </w:r>
      <w:r>
        <w:rPr>
          <w:rFonts w:hint="eastAsia" w:cs="Times New Roman"/>
          <w:sz w:val="28"/>
          <w:szCs w:val="28"/>
          <w:lang w:val="en-US" w:eastAsia="zh-CN"/>
        </w:rPr>
        <w:t xml:space="preserve">               工作人员：</w:t>
      </w:r>
    </w:p>
    <w:p>
      <w:pPr>
        <w:pStyle w:val="2"/>
        <w:rPr>
          <w:rFonts w:hint="default"/>
          <w:lang w:val="en-US" w:eastAsia="zh-CN"/>
        </w:rPr>
        <w:sectPr>
          <w:pgSz w:w="16838" w:h="11906" w:orient="landscape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21" w:charSpace="0"/>
        </w:sectPr>
      </w:pPr>
    </w:p>
    <w:p>
      <w:pPr>
        <w:spacing w:line="0" w:lineRule="atLeast"/>
        <w:jc w:val="center"/>
        <w:rPr>
          <w:rFonts w:ascii="黑体" w:hAnsi="黑体" w:eastAsia="黑体" w:cs="Times New Roman"/>
          <w:b/>
          <w:bCs/>
          <w:spacing w:val="20"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pacing w:val="20"/>
          <w:sz w:val="52"/>
          <w:szCs w:val="52"/>
        </w:rPr>
        <w:t>竞争性</w:t>
      </w:r>
      <w:r>
        <w:rPr>
          <w:rFonts w:hint="eastAsia" w:ascii="黑体" w:hAnsi="黑体" w:eastAsia="黑体" w:cs="黑体"/>
          <w:b/>
          <w:bCs/>
          <w:spacing w:val="20"/>
          <w:sz w:val="52"/>
          <w:szCs w:val="52"/>
          <w:lang w:val="en-US" w:eastAsia="zh-CN"/>
        </w:rPr>
        <w:t>谈判</w:t>
      </w:r>
      <w:r>
        <w:rPr>
          <w:rFonts w:hint="eastAsia" w:ascii="黑体" w:hAnsi="黑体" w:eastAsia="黑体" w:cs="黑体"/>
          <w:b/>
          <w:bCs/>
          <w:spacing w:val="20"/>
          <w:sz w:val="52"/>
          <w:szCs w:val="52"/>
        </w:rPr>
        <w:t>记录表(第</w:t>
      </w:r>
      <w:r>
        <w:rPr>
          <w:rFonts w:hint="eastAsia" w:ascii="黑体" w:hAnsi="黑体" w:eastAsia="黑体" w:cs="黑体"/>
          <w:b/>
          <w:bCs/>
          <w:spacing w:val="20"/>
          <w:sz w:val="52"/>
          <w:szCs w:val="52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spacing w:val="20"/>
          <w:sz w:val="52"/>
          <w:szCs w:val="52"/>
        </w:rPr>
        <w:t>轮)</w:t>
      </w:r>
    </w:p>
    <w:p>
      <w:pPr>
        <w:spacing w:line="500" w:lineRule="exact"/>
        <w:jc w:val="left"/>
        <w:rPr>
          <w:rFonts w:hint="eastAsia" w:ascii="Times New Roman" w:hAnsi="宋体" w:cs="宋体"/>
          <w:sz w:val="28"/>
          <w:szCs w:val="28"/>
          <w:u w:val="single"/>
          <w:lang w:val="zh-CN" w:eastAsia="zh-CN"/>
        </w:rPr>
      </w:pPr>
      <w:r>
        <w:rPr>
          <w:rFonts w:hint="eastAsia" w:ascii="Times New Roman" w:hAnsi="宋体" w:cs="宋体"/>
          <w:sz w:val="28"/>
          <w:szCs w:val="28"/>
        </w:rPr>
        <w:t>项目名称：</w:t>
      </w:r>
      <w:r>
        <w:rPr>
          <w:rFonts w:hint="eastAsia" w:hAnsi="宋体"/>
          <w:b w:val="0"/>
          <w:bCs/>
          <w:sz w:val="32"/>
          <w:szCs w:val="32"/>
          <w:u w:val="single"/>
          <w:lang w:val="en-US" w:eastAsia="zh-CN"/>
        </w:rPr>
        <w:t>宁夏交通科学研究所有限公司2024年高速公路路域环境整治项目（第一批）</w:t>
      </w:r>
    </w:p>
    <w:p>
      <w:pPr>
        <w:spacing w:line="500" w:lineRule="exact"/>
        <w:ind w:firstLine="281" w:firstLineChars="100"/>
        <w:jc w:val="left"/>
        <w:rPr>
          <w:rFonts w:ascii="Times New Roman" w:hAnsi="宋体" w:cs="宋体"/>
          <w:b/>
          <w:bCs/>
          <w:sz w:val="28"/>
          <w:szCs w:val="28"/>
        </w:rPr>
      </w:pPr>
      <w:r>
        <w:rPr>
          <w:rFonts w:hint="eastAsia" w:ascii="Times New Roman" w:hAnsi="宋体" w:cs="宋体"/>
          <w:b/>
          <w:bCs/>
          <w:sz w:val="28"/>
          <w:szCs w:val="28"/>
        </w:rPr>
        <w:t>报价时间：202</w:t>
      </w:r>
      <w:r>
        <w:rPr>
          <w:rFonts w:hint="eastAsia" w:ascii="Times New Roman" w:hAnsi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Times New Roman" w:hAnsi="宋体" w:cs="宋体"/>
          <w:b/>
          <w:bCs/>
          <w:sz w:val="28"/>
          <w:szCs w:val="28"/>
        </w:rPr>
        <w:t>年</w:t>
      </w:r>
      <w:r>
        <w:rPr>
          <w:rFonts w:hint="eastAsia" w:ascii="Times New Roman" w:hAnsi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宋体" w:cs="宋体"/>
          <w:b/>
          <w:bCs/>
          <w:sz w:val="28"/>
          <w:szCs w:val="28"/>
        </w:rPr>
        <w:t>月</w:t>
      </w:r>
      <w:r>
        <w:rPr>
          <w:rFonts w:hint="eastAsia" w:ascii="Times New Roman" w:hAnsi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宋体" w:cs="宋体"/>
          <w:b/>
          <w:bCs/>
          <w:sz w:val="28"/>
          <w:szCs w:val="28"/>
        </w:rPr>
        <w:t>日</w:t>
      </w:r>
    </w:p>
    <w:tbl>
      <w:tblPr>
        <w:tblStyle w:val="8"/>
        <w:tblW w:w="138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3231"/>
        <w:gridCol w:w="1635"/>
        <w:gridCol w:w="4080"/>
        <w:gridCol w:w="2105"/>
        <w:gridCol w:w="20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序号</w:t>
            </w:r>
          </w:p>
        </w:tc>
        <w:tc>
          <w:tcPr>
            <w:tcW w:w="3231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报价单位名称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组别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jc w:val="center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总报价（元）</w:t>
            </w:r>
          </w:p>
        </w:tc>
        <w:tc>
          <w:tcPr>
            <w:tcW w:w="2105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报价单位法定代表人或委托代理人签字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1</w:t>
            </w:r>
          </w:p>
        </w:tc>
        <w:tc>
          <w:tcPr>
            <w:tcW w:w="3231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jc w:val="both"/>
              <w:rPr>
                <w:rFonts w:hint="eastAsia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大写金额：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小写金额：</w:t>
            </w:r>
          </w:p>
        </w:tc>
        <w:tc>
          <w:tcPr>
            <w:tcW w:w="2105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19" w:type="dxa"/>
            <w:noWrap w:val="0"/>
            <w:vAlign w:val="center"/>
          </w:tcPr>
          <w:p>
            <w:pPr>
              <w:jc w:val="center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单价（元）下浮比例同总价下浮比例一致。</w:t>
            </w:r>
          </w:p>
        </w:tc>
      </w:tr>
    </w:tbl>
    <w:p>
      <w:pPr>
        <w:ind w:left="720" w:firstLine="480"/>
        <w:rPr>
          <w:rFonts w:hint="default"/>
          <w:sz w:val="24"/>
          <w:szCs w:val="24"/>
          <w:lang w:val="en-US" w:eastAsia="zh-CN"/>
        </w:rPr>
      </w:pPr>
      <w:r>
        <w:rPr>
          <w:rFonts w:hint="eastAsia" w:cs="Times New Roman"/>
          <w:sz w:val="28"/>
          <w:szCs w:val="28"/>
        </w:rPr>
        <w:t>采购人：宁夏交通科学研究所有限公司                   监督人员</w:t>
      </w:r>
      <w:r>
        <w:rPr>
          <w:rFonts w:hint="eastAsia" w:cs="Times New Roman"/>
          <w:sz w:val="28"/>
          <w:szCs w:val="28"/>
          <w:lang w:eastAsia="zh-CN"/>
        </w:rPr>
        <w:t>：</w:t>
      </w:r>
      <w:r>
        <w:rPr>
          <w:rFonts w:hint="eastAsia" w:cs="Times New Roman"/>
          <w:sz w:val="28"/>
          <w:szCs w:val="28"/>
          <w:lang w:val="en-US" w:eastAsia="zh-CN"/>
        </w:rPr>
        <w:t xml:space="preserve">               工作人员：</w:t>
      </w: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pStyle w:val="2"/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pStyle w:val="2"/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pStyle w:val="2"/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spacing w:line="0" w:lineRule="atLeast"/>
        <w:jc w:val="center"/>
        <w:rPr>
          <w:rFonts w:ascii="黑体" w:hAnsi="黑体" w:eastAsia="黑体" w:cs="Times New Roman"/>
          <w:b/>
          <w:bCs/>
          <w:spacing w:val="20"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pacing w:val="20"/>
          <w:sz w:val="52"/>
          <w:szCs w:val="52"/>
        </w:rPr>
        <w:t>竞争性</w:t>
      </w:r>
      <w:r>
        <w:rPr>
          <w:rFonts w:hint="eastAsia" w:ascii="黑体" w:hAnsi="黑体" w:eastAsia="黑体" w:cs="黑体"/>
          <w:b/>
          <w:bCs/>
          <w:spacing w:val="20"/>
          <w:sz w:val="52"/>
          <w:szCs w:val="52"/>
          <w:lang w:val="en-US" w:eastAsia="zh-CN"/>
        </w:rPr>
        <w:t>谈判</w:t>
      </w:r>
      <w:r>
        <w:rPr>
          <w:rFonts w:hint="eastAsia" w:ascii="黑体" w:hAnsi="黑体" w:eastAsia="黑体" w:cs="黑体"/>
          <w:b/>
          <w:bCs/>
          <w:spacing w:val="20"/>
          <w:sz w:val="52"/>
          <w:szCs w:val="52"/>
        </w:rPr>
        <w:t>记录表(第</w:t>
      </w:r>
      <w:r>
        <w:rPr>
          <w:rFonts w:hint="eastAsia" w:ascii="黑体" w:hAnsi="黑体" w:eastAsia="黑体" w:cs="黑体"/>
          <w:b/>
          <w:bCs/>
          <w:spacing w:val="20"/>
          <w:sz w:val="52"/>
          <w:szCs w:val="52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spacing w:val="20"/>
          <w:sz w:val="52"/>
          <w:szCs w:val="52"/>
        </w:rPr>
        <w:t>轮)</w:t>
      </w:r>
    </w:p>
    <w:p>
      <w:pPr>
        <w:spacing w:line="500" w:lineRule="exact"/>
        <w:jc w:val="both"/>
        <w:rPr>
          <w:rFonts w:hint="eastAsia" w:ascii="Times New Roman" w:hAnsi="宋体" w:cs="宋体"/>
          <w:sz w:val="28"/>
          <w:szCs w:val="28"/>
          <w:u w:val="single"/>
          <w:lang w:val="zh-CN" w:eastAsia="zh-CN"/>
        </w:rPr>
      </w:pPr>
      <w:r>
        <w:rPr>
          <w:rFonts w:hint="eastAsia" w:ascii="Times New Roman" w:hAnsi="宋体" w:cs="宋体"/>
          <w:sz w:val="28"/>
          <w:szCs w:val="28"/>
        </w:rPr>
        <w:t>项目名称：</w:t>
      </w:r>
      <w:r>
        <w:rPr>
          <w:rFonts w:hint="eastAsia" w:hAnsi="宋体"/>
          <w:b w:val="0"/>
          <w:bCs/>
          <w:sz w:val="32"/>
          <w:szCs w:val="32"/>
          <w:u w:val="single"/>
          <w:lang w:val="en-US" w:eastAsia="zh-CN"/>
        </w:rPr>
        <w:t>宁夏交通科学研究所有限公司2024年高速公路路域环境整治项目（第一批）</w:t>
      </w:r>
    </w:p>
    <w:p>
      <w:pPr>
        <w:spacing w:line="500" w:lineRule="exact"/>
        <w:jc w:val="left"/>
        <w:rPr>
          <w:rFonts w:ascii="Times New Roman" w:hAnsi="宋体" w:cs="宋体"/>
          <w:b/>
          <w:bCs/>
          <w:sz w:val="28"/>
          <w:szCs w:val="28"/>
        </w:rPr>
      </w:pPr>
      <w:r>
        <w:rPr>
          <w:rFonts w:hint="eastAsia" w:ascii="Times New Roman" w:hAnsi="宋体" w:cs="宋体"/>
          <w:b/>
          <w:bCs/>
          <w:sz w:val="28"/>
          <w:szCs w:val="28"/>
        </w:rPr>
        <w:t>报价时间：202</w:t>
      </w:r>
      <w:r>
        <w:rPr>
          <w:rFonts w:hint="eastAsia" w:ascii="Times New Roman" w:hAnsi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Times New Roman" w:hAnsi="宋体" w:cs="宋体"/>
          <w:b/>
          <w:bCs/>
          <w:sz w:val="28"/>
          <w:szCs w:val="28"/>
        </w:rPr>
        <w:t>年</w:t>
      </w:r>
      <w:r>
        <w:rPr>
          <w:rFonts w:hint="eastAsia" w:ascii="Times New Roman" w:hAnsi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宋体" w:cs="宋体"/>
          <w:b/>
          <w:bCs/>
          <w:sz w:val="28"/>
          <w:szCs w:val="28"/>
        </w:rPr>
        <w:t>月</w:t>
      </w:r>
      <w:r>
        <w:rPr>
          <w:rFonts w:hint="eastAsia" w:ascii="Times New Roman" w:hAnsi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宋体" w:cs="宋体"/>
          <w:b/>
          <w:bCs/>
          <w:sz w:val="28"/>
          <w:szCs w:val="28"/>
        </w:rPr>
        <w:t>日</w:t>
      </w:r>
    </w:p>
    <w:tbl>
      <w:tblPr>
        <w:tblStyle w:val="8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3440"/>
        <w:gridCol w:w="1739"/>
        <w:gridCol w:w="4342"/>
        <w:gridCol w:w="2239"/>
        <w:gridCol w:w="21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295" w:type="pct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序号</w:t>
            </w:r>
          </w:p>
        </w:tc>
        <w:tc>
          <w:tcPr>
            <w:tcW w:w="1163" w:type="pct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报价单位名称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组别</w:t>
            </w:r>
          </w:p>
        </w:tc>
        <w:tc>
          <w:tcPr>
            <w:tcW w:w="1468" w:type="pct"/>
            <w:noWrap w:val="0"/>
            <w:vAlign w:val="center"/>
          </w:tcPr>
          <w:p>
            <w:pPr>
              <w:jc w:val="center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总报价（元）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报价单位法定代表人或委托代理人签字</w:t>
            </w:r>
          </w:p>
        </w:tc>
        <w:tc>
          <w:tcPr>
            <w:tcW w:w="726" w:type="pct"/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  <w:jc w:val="center"/>
        </w:trPr>
        <w:tc>
          <w:tcPr>
            <w:tcW w:w="295" w:type="pct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1</w:t>
            </w:r>
          </w:p>
        </w:tc>
        <w:tc>
          <w:tcPr>
            <w:tcW w:w="1163" w:type="pct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8" w:type="pct"/>
            <w:noWrap w:val="0"/>
            <w:vAlign w:val="center"/>
          </w:tcPr>
          <w:p>
            <w:pPr>
              <w:jc w:val="center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68" w:type="pct"/>
            <w:noWrap w:val="0"/>
            <w:vAlign w:val="center"/>
          </w:tcPr>
          <w:p>
            <w:pPr>
              <w:jc w:val="both"/>
              <w:rPr>
                <w:rFonts w:hint="eastAsia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大写金额：</w:t>
            </w:r>
          </w:p>
          <w:p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小写金额：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26" w:type="pct"/>
            <w:noWrap w:val="0"/>
            <w:vAlign w:val="center"/>
          </w:tcPr>
          <w:p>
            <w:pPr>
              <w:jc w:val="center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单价（元）下浮比例同总价下浮比例一致。</w:t>
            </w:r>
          </w:p>
        </w:tc>
      </w:tr>
    </w:tbl>
    <w:p>
      <w:pPr>
        <w:ind w:left="720" w:firstLine="480"/>
        <w:rPr>
          <w:rFonts w:hint="default"/>
          <w:sz w:val="24"/>
          <w:szCs w:val="24"/>
          <w:lang w:val="en-US" w:eastAsia="zh-CN"/>
        </w:rPr>
      </w:pPr>
      <w:r>
        <w:rPr>
          <w:rFonts w:hint="eastAsia" w:cs="Times New Roman"/>
          <w:sz w:val="28"/>
          <w:szCs w:val="28"/>
        </w:rPr>
        <w:t>采购人：宁夏交通科学研究所有限公司                   监督人员</w:t>
      </w:r>
      <w:r>
        <w:rPr>
          <w:rFonts w:hint="eastAsia" w:cs="Times New Roman"/>
          <w:sz w:val="28"/>
          <w:szCs w:val="28"/>
          <w:lang w:eastAsia="zh-CN"/>
        </w:rPr>
        <w:t>：</w:t>
      </w:r>
      <w:r>
        <w:rPr>
          <w:rFonts w:hint="eastAsia" w:cs="Times New Roman"/>
          <w:sz w:val="28"/>
          <w:szCs w:val="28"/>
          <w:lang w:val="en-US" w:eastAsia="zh-CN"/>
        </w:rPr>
        <w:t xml:space="preserve">               工作人员：</w:t>
      </w:r>
    </w:p>
    <w:sectPr>
      <w:pgSz w:w="16838" w:h="11906" w:orient="landscape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2"/>
  <w:drawingGridVerticalSpacing w:val="16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M1YWU2NjcyNGRhMWY4NjI2ZTBjMTE3ZDNmMzc1NDAifQ=="/>
    <w:docVar w:name="KSO_WPS_MARK_KEY" w:val="507ba383-1ac0-4ac7-8d52-27a9e50deedb"/>
  </w:docVars>
  <w:rsids>
    <w:rsidRoot w:val="00172A27"/>
    <w:rsid w:val="0002347D"/>
    <w:rsid w:val="000450E9"/>
    <w:rsid w:val="0005419A"/>
    <w:rsid w:val="000B1E32"/>
    <w:rsid w:val="00107CDF"/>
    <w:rsid w:val="00113DB6"/>
    <w:rsid w:val="00120002"/>
    <w:rsid w:val="00154E04"/>
    <w:rsid w:val="00164D77"/>
    <w:rsid w:val="00172A27"/>
    <w:rsid w:val="0017321D"/>
    <w:rsid w:val="00176A5B"/>
    <w:rsid w:val="001868F4"/>
    <w:rsid w:val="00197EBD"/>
    <w:rsid w:val="001A08CC"/>
    <w:rsid w:val="001A19D9"/>
    <w:rsid w:val="001E18ED"/>
    <w:rsid w:val="0022165A"/>
    <w:rsid w:val="00222976"/>
    <w:rsid w:val="002238D9"/>
    <w:rsid w:val="002D2CAD"/>
    <w:rsid w:val="002E5490"/>
    <w:rsid w:val="002E72CD"/>
    <w:rsid w:val="002F2017"/>
    <w:rsid w:val="003167AC"/>
    <w:rsid w:val="0031726C"/>
    <w:rsid w:val="00334C5A"/>
    <w:rsid w:val="00343632"/>
    <w:rsid w:val="00362C08"/>
    <w:rsid w:val="003A5D9A"/>
    <w:rsid w:val="003B6A34"/>
    <w:rsid w:val="003C15C6"/>
    <w:rsid w:val="003E3098"/>
    <w:rsid w:val="003E678A"/>
    <w:rsid w:val="003F3FB8"/>
    <w:rsid w:val="003F4F78"/>
    <w:rsid w:val="003F4F92"/>
    <w:rsid w:val="004019DA"/>
    <w:rsid w:val="00430947"/>
    <w:rsid w:val="00477D0A"/>
    <w:rsid w:val="004A071E"/>
    <w:rsid w:val="004F1851"/>
    <w:rsid w:val="00501CB9"/>
    <w:rsid w:val="00506C00"/>
    <w:rsid w:val="00517A81"/>
    <w:rsid w:val="00533C58"/>
    <w:rsid w:val="00591DAF"/>
    <w:rsid w:val="005C516D"/>
    <w:rsid w:val="005E467E"/>
    <w:rsid w:val="005F2B4A"/>
    <w:rsid w:val="006349E1"/>
    <w:rsid w:val="006407A4"/>
    <w:rsid w:val="006425C1"/>
    <w:rsid w:val="00647C81"/>
    <w:rsid w:val="006714D3"/>
    <w:rsid w:val="006956ED"/>
    <w:rsid w:val="006B0BF0"/>
    <w:rsid w:val="006F3A8E"/>
    <w:rsid w:val="007111D8"/>
    <w:rsid w:val="007179D3"/>
    <w:rsid w:val="00724730"/>
    <w:rsid w:val="00737352"/>
    <w:rsid w:val="007424F6"/>
    <w:rsid w:val="00774407"/>
    <w:rsid w:val="007B12B3"/>
    <w:rsid w:val="007C492F"/>
    <w:rsid w:val="007D034F"/>
    <w:rsid w:val="007F558C"/>
    <w:rsid w:val="008046DD"/>
    <w:rsid w:val="00812CD4"/>
    <w:rsid w:val="008213AA"/>
    <w:rsid w:val="008538AC"/>
    <w:rsid w:val="00862FB0"/>
    <w:rsid w:val="00866654"/>
    <w:rsid w:val="0086680E"/>
    <w:rsid w:val="00882C86"/>
    <w:rsid w:val="00894537"/>
    <w:rsid w:val="009157D6"/>
    <w:rsid w:val="00940948"/>
    <w:rsid w:val="0097117B"/>
    <w:rsid w:val="009719C0"/>
    <w:rsid w:val="00984E4D"/>
    <w:rsid w:val="00997D9A"/>
    <w:rsid w:val="009C417F"/>
    <w:rsid w:val="009E0BBD"/>
    <w:rsid w:val="00A01426"/>
    <w:rsid w:val="00A132FB"/>
    <w:rsid w:val="00A167B2"/>
    <w:rsid w:val="00A238EE"/>
    <w:rsid w:val="00A2585C"/>
    <w:rsid w:val="00A518C6"/>
    <w:rsid w:val="00A65E96"/>
    <w:rsid w:val="00AA4B92"/>
    <w:rsid w:val="00AB4996"/>
    <w:rsid w:val="00AB4E92"/>
    <w:rsid w:val="00AD09F8"/>
    <w:rsid w:val="00AD46A3"/>
    <w:rsid w:val="00AF5811"/>
    <w:rsid w:val="00B15721"/>
    <w:rsid w:val="00B36245"/>
    <w:rsid w:val="00B55C49"/>
    <w:rsid w:val="00B609A4"/>
    <w:rsid w:val="00B6105C"/>
    <w:rsid w:val="00B82A93"/>
    <w:rsid w:val="00B913B1"/>
    <w:rsid w:val="00BB7765"/>
    <w:rsid w:val="00BC7C3D"/>
    <w:rsid w:val="00C307DC"/>
    <w:rsid w:val="00C45F37"/>
    <w:rsid w:val="00C82376"/>
    <w:rsid w:val="00C91324"/>
    <w:rsid w:val="00CC1FB1"/>
    <w:rsid w:val="00CF5A6E"/>
    <w:rsid w:val="00D24284"/>
    <w:rsid w:val="00DB05F1"/>
    <w:rsid w:val="00DC4BA9"/>
    <w:rsid w:val="00DC7974"/>
    <w:rsid w:val="00DD75D9"/>
    <w:rsid w:val="00DF1AD0"/>
    <w:rsid w:val="00E01222"/>
    <w:rsid w:val="00E1269E"/>
    <w:rsid w:val="00E34DAE"/>
    <w:rsid w:val="00E36876"/>
    <w:rsid w:val="00E53885"/>
    <w:rsid w:val="00E57E3F"/>
    <w:rsid w:val="00EA7BB6"/>
    <w:rsid w:val="00EC73D3"/>
    <w:rsid w:val="00EE6D44"/>
    <w:rsid w:val="00EE7CA0"/>
    <w:rsid w:val="00EF1493"/>
    <w:rsid w:val="00EF6F43"/>
    <w:rsid w:val="00F616C3"/>
    <w:rsid w:val="00FB20F1"/>
    <w:rsid w:val="00FC00DF"/>
    <w:rsid w:val="00FC524F"/>
    <w:rsid w:val="00FC6201"/>
    <w:rsid w:val="00FF62B6"/>
    <w:rsid w:val="01893FFB"/>
    <w:rsid w:val="02397F74"/>
    <w:rsid w:val="02697D40"/>
    <w:rsid w:val="02BC019D"/>
    <w:rsid w:val="035547A3"/>
    <w:rsid w:val="037956BB"/>
    <w:rsid w:val="056169D7"/>
    <w:rsid w:val="06AA2814"/>
    <w:rsid w:val="070A357C"/>
    <w:rsid w:val="08244358"/>
    <w:rsid w:val="09995402"/>
    <w:rsid w:val="0A465B8E"/>
    <w:rsid w:val="0A8B0F61"/>
    <w:rsid w:val="0B5346A2"/>
    <w:rsid w:val="0BF57579"/>
    <w:rsid w:val="0DBA6624"/>
    <w:rsid w:val="0E426D2F"/>
    <w:rsid w:val="0FEB2435"/>
    <w:rsid w:val="11253237"/>
    <w:rsid w:val="12472434"/>
    <w:rsid w:val="12672BED"/>
    <w:rsid w:val="12750A64"/>
    <w:rsid w:val="12BB03C6"/>
    <w:rsid w:val="13211843"/>
    <w:rsid w:val="176E20C3"/>
    <w:rsid w:val="185D7A2D"/>
    <w:rsid w:val="188434D2"/>
    <w:rsid w:val="1A4743E4"/>
    <w:rsid w:val="1A630569"/>
    <w:rsid w:val="1B970022"/>
    <w:rsid w:val="1BDA04DB"/>
    <w:rsid w:val="1D344C11"/>
    <w:rsid w:val="1D365BE3"/>
    <w:rsid w:val="1EBF4E26"/>
    <w:rsid w:val="20993E5F"/>
    <w:rsid w:val="21C747EF"/>
    <w:rsid w:val="21CE5D30"/>
    <w:rsid w:val="226E2784"/>
    <w:rsid w:val="22DA7AA0"/>
    <w:rsid w:val="242F6B10"/>
    <w:rsid w:val="24F10B3C"/>
    <w:rsid w:val="250C32D4"/>
    <w:rsid w:val="25150CE0"/>
    <w:rsid w:val="25395E6A"/>
    <w:rsid w:val="25506803"/>
    <w:rsid w:val="257F646B"/>
    <w:rsid w:val="25B768BB"/>
    <w:rsid w:val="276462CA"/>
    <w:rsid w:val="2874236C"/>
    <w:rsid w:val="2A1F3308"/>
    <w:rsid w:val="2AC80F99"/>
    <w:rsid w:val="2E8A57EA"/>
    <w:rsid w:val="2F4C670F"/>
    <w:rsid w:val="30217958"/>
    <w:rsid w:val="30C14BDE"/>
    <w:rsid w:val="32272DCA"/>
    <w:rsid w:val="32326807"/>
    <w:rsid w:val="33D812E6"/>
    <w:rsid w:val="347E4B28"/>
    <w:rsid w:val="34B72CA3"/>
    <w:rsid w:val="36E47B9D"/>
    <w:rsid w:val="36E63330"/>
    <w:rsid w:val="378B3228"/>
    <w:rsid w:val="37C03A20"/>
    <w:rsid w:val="397B655D"/>
    <w:rsid w:val="39C42C58"/>
    <w:rsid w:val="39EF7ACC"/>
    <w:rsid w:val="3A7F7554"/>
    <w:rsid w:val="3C1C7DAA"/>
    <w:rsid w:val="3C952FF5"/>
    <w:rsid w:val="3D457445"/>
    <w:rsid w:val="3DE36E58"/>
    <w:rsid w:val="40EC76EA"/>
    <w:rsid w:val="42DC790B"/>
    <w:rsid w:val="43F13BFE"/>
    <w:rsid w:val="447B522A"/>
    <w:rsid w:val="462A5B0A"/>
    <w:rsid w:val="462B59EC"/>
    <w:rsid w:val="46764128"/>
    <w:rsid w:val="46D44874"/>
    <w:rsid w:val="46FC57DA"/>
    <w:rsid w:val="49474073"/>
    <w:rsid w:val="4A186D85"/>
    <w:rsid w:val="4A7215BD"/>
    <w:rsid w:val="4AD97C79"/>
    <w:rsid w:val="4B1E03CD"/>
    <w:rsid w:val="4CAE0C3D"/>
    <w:rsid w:val="4D19347A"/>
    <w:rsid w:val="4D856DE1"/>
    <w:rsid w:val="4E700823"/>
    <w:rsid w:val="4F1E22C3"/>
    <w:rsid w:val="50641063"/>
    <w:rsid w:val="537F622C"/>
    <w:rsid w:val="55876CB3"/>
    <w:rsid w:val="573A1EDC"/>
    <w:rsid w:val="57EF7117"/>
    <w:rsid w:val="585E273B"/>
    <w:rsid w:val="59392552"/>
    <w:rsid w:val="5990372C"/>
    <w:rsid w:val="59C80556"/>
    <w:rsid w:val="5D6C5006"/>
    <w:rsid w:val="5DB84F1E"/>
    <w:rsid w:val="5FF54346"/>
    <w:rsid w:val="610B6B74"/>
    <w:rsid w:val="61734C99"/>
    <w:rsid w:val="64087BA8"/>
    <w:rsid w:val="65BA6D8B"/>
    <w:rsid w:val="667678A1"/>
    <w:rsid w:val="6699393C"/>
    <w:rsid w:val="681E00FA"/>
    <w:rsid w:val="68FA3AD1"/>
    <w:rsid w:val="69F83857"/>
    <w:rsid w:val="6A352CCF"/>
    <w:rsid w:val="6BA85E14"/>
    <w:rsid w:val="6E230BA7"/>
    <w:rsid w:val="6E502713"/>
    <w:rsid w:val="6F6C489B"/>
    <w:rsid w:val="712D72BF"/>
    <w:rsid w:val="7157594D"/>
    <w:rsid w:val="716C2A69"/>
    <w:rsid w:val="732A3FF1"/>
    <w:rsid w:val="77B84A6D"/>
    <w:rsid w:val="77B95F79"/>
    <w:rsid w:val="783130A8"/>
    <w:rsid w:val="78541609"/>
    <w:rsid w:val="78741E1D"/>
    <w:rsid w:val="7A69691C"/>
    <w:rsid w:val="7AE76131"/>
    <w:rsid w:val="7D6368C9"/>
    <w:rsid w:val="7E5F7E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 w:line="240" w:lineRule="auto"/>
    </w:pPr>
    <w:rPr>
      <w:spacing w:val="0"/>
      <w:sz w:val="21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6">
    <w:name w:val="Body Text 2"/>
    <w:basedOn w:val="1"/>
    <w:autoRedefine/>
    <w:qFormat/>
    <w:uiPriority w:val="0"/>
    <w:pPr>
      <w:spacing w:after="120" w:line="480" w:lineRule="auto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autoRedefine/>
    <w:qFormat/>
    <w:uiPriority w:val="0"/>
    <w:rPr>
      <w:rFonts w:cs="Times New Roman"/>
      <w:color w:val="0000FF"/>
      <w:u w:val="single"/>
    </w:rPr>
  </w:style>
  <w:style w:type="character" w:styleId="11">
    <w:name w:val="footnote reference"/>
    <w:basedOn w:val="9"/>
    <w:autoRedefine/>
    <w:semiHidden/>
    <w:qFormat/>
    <w:uiPriority w:val="0"/>
    <w:rPr>
      <w:rFonts w:cs="Times New Roman"/>
      <w:vertAlign w:val="superscript"/>
    </w:rPr>
  </w:style>
  <w:style w:type="character" w:customStyle="1" w:styleId="12">
    <w:name w:val="标题 1 Char"/>
    <w:basedOn w:val="9"/>
    <w:link w:val="3"/>
    <w:autoRedefine/>
    <w:qFormat/>
    <w:locked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13">
    <w:name w:val="font01"/>
    <w:basedOn w:val="9"/>
    <w:autoRedefine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4">
    <w:name w:val="font2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6F257-23C1-4C97-AB7C-E246AB0392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845</Words>
  <Characters>883</Characters>
  <Lines>7</Lines>
  <Paragraphs>1</Paragraphs>
  <TotalTime>2</TotalTime>
  <ScaleCrop>false</ScaleCrop>
  <LinksUpToDate>false</LinksUpToDate>
  <CharactersWithSpaces>1019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2019-09-04T10:31:00Z</dcterms:created>
  <dc:creator>YangLe</dc:creator>
  <cp:lastModifiedBy>with  me</cp:lastModifiedBy>
  <cp:lastPrinted>2023-04-11T04:42:00Z</cp:lastPrinted>
  <dcterms:modified xsi:type="dcterms:W3CDTF">2024-01-11T03:52:23Z</dcterms:modified>
  <dc:title>宁夏交通科研所关于青银项目驻地二办试验室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17C39C663B1E47EA86B60DC81AE34057</vt:lpwstr>
  </property>
  <property fmtid="{D5CDD505-2E9C-101B-9397-08002B2CF9AE}" pid="4" name="commondata">
    <vt:lpwstr>eyJoZGlkIjoiM2FhNTQ4MDM5ODBmMjMwNGNjYzhkNDQzNzhlZjZjYWMifQ==</vt:lpwstr>
  </property>
</Properties>
</file>