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312" w:beforeLines="100" w:after="312" w:afterLines="100"/>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竞价邀请函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b w:val="0"/>
          <w:bCs/>
          <w:sz w:val="32"/>
          <w:szCs w:val="32"/>
          <w:u w:val="none"/>
          <w:lang w:val="en-US" w:eastAsia="zh-CN"/>
        </w:rPr>
      </w:pPr>
      <w:r>
        <w:rPr>
          <w:rFonts w:hint="eastAsia" w:hAnsi="宋体"/>
          <w:b w:val="0"/>
          <w:bCs/>
          <w:sz w:val="32"/>
          <w:szCs w:val="32"/>
          <w:u w:val="single"/>
          <w:lang w:val="en-US" w:eastAsia="zh-CN"/>
        </w:rPr>
        <w:t>劳务供应商备选库</w:t>
      </w:r>
      <w:r>
        <w:rPr>
          <w:rFonts w:hint="eastAsia" w:hAnsi="宋体"/>
          <w:b w:val="0"/>
          <w:bCs/>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经我公司研究，为确保做好高速公路交通安全设施养护维修工作，我公司邀请贵单位于</w:t>
      </w:r>
      <w:r>
        <w:rPr>
          <w:rFonts w:hint="eastAsia" w:hAnsi="宋体"/>
          <w:b w:val="0"/>
          <w:bCs/>
          <w:color w:val="FF0000"/>
          <w:sz w:val="32"/>
          <w:szCs w:val="32"/>
          <w:u w:val="single"/>
          <w:lang w:val="en-US" w:eastAsia="zh-CN"/>
        </w:rPr>
        <w:t>2025年12月1日9点00分</w:t>
      </w:r>
      <w:r>
        <w:rPr>
          <w:rFonts w:hint="eastAsia" w:hAnsi="宋体"/>
          <w:b w:val="0"/>
          <w:bCs/>
          <w:sz w:val="32"/>
          <w:szCs w:val="32"/>
          <w:lang w:val="en-US" w:eastAsia="zh-CN"/>
        </w:rPr>
        <w:t>参加宁夏交通科学研究所有限公司2025年日常养护G85银昆高速、S30古青高速三季度应急水毁维修劳务服务项目竞价活动。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一、标段划分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本项目划分为1个标段：宁夏交通科学研究所有限公司2025年日常养护G85银昆高速、S30古青高速三季度应急水毁维修劳务服务项目。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二、竞价地点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hAnsi="宋体"/>
          <w:b w:val="0"/>
          <w:bCs/>
          <w:sz w:val="32"/>
          <w:szCs w:val="32"/>
          <w:lang w:val="en-US" w:eastAsia="zh-CN"/>
        </w:rPr>
      </w:pPr>
      <w:r>
        <w:rPr>
          <w:rFonts w:hint="eastAsia" w:hAnsi="宋体"/>
          <w:b/>
          <w:bCs w:val="0"/>
          <w:sz w:val="32"/>
          <w:szCs w:val="32"/>
          <w:lang w:val="en-US" w:eastAsia="zh-CN"/>
        </w:rPr>
        <w:t>宁夏银川市兴庆区太阳都市花园东侧营业房C-2三楼会议室</w:t>
      </w:r>
      <w:r>
        <w:rPr>
          <w:rFonts w:hint="eastAsia" w:hAnsi="宋体"/>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sz w:val="32"/>
          <w:szCs w:val="32"/>
          <w:lang w:val="en-US" w:eastAsia="zh-CN"/>
        </w:rPr>
      </w:pPr>
      <w:r>
        <w:rPr>
          <w:rFonts w:hint="eastAsia" w:hAnsi="宋体"/>
          <w:b w:val="0"/>
          <w:bCs/>
          <w:sz w:val="32"/>
          <w:szCs w:val="32"/>
          <w:lang w:val="en-US" w:eastAsia="zh-CN"/>
        </w:rPr>
        <w:t>三、报价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sz w:val="32"/>
          <w:szCs w:val="32"/>
          <w:lang w:val="en-US" w:eastAsia="zh-CN"/>
        </w:rPr>
      </w:pPr>
      <w:r>
        <w:rPr>
          <w:rFonts w:hint="eastAsia" w:hAnsi="宋体"/>
          <w:b w:val="0"/>
          <w:bCs/>
          <w:sz w:val="32"/>
          <w:szCs w:val="32"/>
          <w:lang w:val="en-US" w:eastAsia="zh-CN"/>
        </w:rPr>
        <w:t>（一）工程数量为暂估数量，第一轮报价时须填写《竞争性谈判记录表(第一轮)》（报价时必须提供，否则不予接受报价），第二轮及之后的报价只填写《竞争性谈判记录表(第**轮)》，总价降幅等同于单价降幅（以单价限价为基准），</w:t>
      </w:r>
      <w:r>
        <w:rPr>
          <w:rFonts w:hint="eastAsia" w:hAnsi="宋体"/>
          <w:b w:val="0"/>
          <w:bCs/>
          <w:color w:val="FF0000"/>
          <w:sz w:val="32"/>
          <w:szCs w:val="32"/>
          <w:lang w:val="en-US" w:eastAsia="zh-CN"/>
        </w:rPr>
        <w:t>所有报价均不含税</w:t>
      </w:r>
      <w:r>
        <w:rPr>
          <w:rFonts w:hint="eastAsia" w:hAnsi="宋体"/>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sz w:val="32"/>
          <w:szCs w:val="32"/>
          <w:lang w:val="en-US" w:eastAsia="zh-CN"/>
        </w:rPr>
      </w:pPr>
      <w:r>
        <w:rPr>
          <w:rFonts w:hint="eastAsia" w:hAnsi="宋体"/>
          <w:b w:val="0"/>
          <w:bCs/>
          <w:sz w:val="32"/>
          <w:szCs w:val="32"/>
          <w:lang w:val="en-US" w:eastAsia="zh-CN"/>
        </w:rPr>
        <w:t>（二）供应商填报的</w:t>
      </w:r>
      <w:r>
        <w:rPr>
          <w:rFonts w:hint="eastAsia" w:hAnsi="宋体"/>
          <w:b w:val="0"/>
          <w:bCs/>
          <w:color w:val="FF0000"/>
          <w:sz w:val="32"/>
          <w:szCs w:val="32"/>
          <w:lang w:val="en-US" w:eastAsia="zh-CN"/>
        </w:rPr>
        <w:t>单价</w:t>
      </w:r>
      <w:r>
        <w:rPr>
          <w:rFonts w:hint="eastAsia" w:hAnsi="宋体"/>
          <w:b w:val="0"/>
          <w:bCs/>
          <w:sz w:val="32"/>
          <w:szCs w:val="32"/>
          <w:lang w:val="en-US" w:eastAsia="zh-CN"/>
        </w:rPr>
        <w:t>不能超过清单规定的</w:t>
      </w:r>
      <w:r>
        <w:rPr>
          <w:rFonts w:hint="eastAsia" w:hAnsi="宋体"/>
          <w:b w:val="0"/>
          <w:bCs/>
          <w:color w:val="FF0000"/>
          <w:sz w:val="32"/>
          <w:szCs w:val="32"/>
          <w:lang w:val="en-US" w:eastAsia="zh-CN"/>
        </w:rPr>
        <w:t>单价，</w:t>
      </w:r>
      <w:r>
        <w:rPr>
          <w:rFonts w:hint="eastAsia" w:hAnsi="宋体"/>
          <w:b w:val="0"/>
          <w:bCs/>
          <w:sz w:val="32"/>
          <w:szCs w:val="32"/>
          <w:lang w:val="en-US" w:eastAsia="zh-CN"/>
        </w:rPr>
        <w:t>且所报总价不能超出总限价。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lang w:val="en-US" w:eastAsia="zh-CN"/>
        </w:rPr>
      </w:pPr>
      <w:r>
        <w:rPr>
          <w:rFonts w:hint="eastAsia" w:hAnsi="宋体"/>
          <w:b w:val="0"/>
          <w:bCs/>
          <w:sz w:val="32"/>
          <w:szCs w:val="32"/>
          <w:lang w:val="en-US" w:eastAsia="zh-CN"/>
        </w:rPr>
        <w:t>（三）本次总限价为：</w:t>
      </w:r>
      <w:r>
        <w:rPr>
          <w:rFonts w:hint="eastAsia" w:hAnsi="宋体"/>
          <w:b w:val="0"/>
          <w:bCs/>
          <w:sz w:val="32"/>
          <w:szCs w:val="32"/>
          <w:u w:val="single"/>
          <w:lang w:val="en-US" w:eastAsia="zh-CN"/>
        </w:rPr>
        <w:t>487398.2</w:t>
      </w:r>
      <w:r>
        <w:rPr>
          <w:rFonts w:hint="eastAsia" w:hAnsi="宋体"/>
          <w:b w:val="0"/>
          <w:bCs/>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hAnsi="宋体"/>
          <w:b w:val="0"/>
          <w:bCs/>
          <w:color w:val="auto"/>
          <w:sz w:val="32"/>
          <w:szCs w:val="32"/>
          <w:lang w:val="en-US" w:eastAsia="zh-CN"/>
        </w:rPr>
      </w:pPr>
      <w:r>
        <w:rPr>
          <w:rFonts w:hint="eastAsia" w:hAnsi="宋体"/>
          <w:b w:val="0"/>
          <w:bCs/>
          <w:sz w:val="32"/>
          <w:szCs w:val="32"/>
          <w:lang w:val="en-US" w:eastAsia="zh-CN"/>
        </w:rPr>
        <w:t>四、请所有供应商法定代表人或授权委托人准时参会</w:t>
      </w:r>
      <w:r>
        <w:rPr>
          <w:rFonts w:hint="eastAsia" w:hAnsi="宋体"/>
          <w:b w:val="0"/>
          <w:bCs/>
          <w:color w:val="auto"/>
          <w:sz w:val="32"/>
          <w:szCs w:val="32"/>
          <w:lang w:val="en-US" w:eastAsia="zh-CN"/>
        </w:rPr>
        <w:t>，未参会或未回复的供应商视为自愿放弃本次报价资格，将按照公司相关办法进行处罚；参加本次竞价的供应商必须携带劳务资质及安全生产许可证复印件；授权委托人带授权委托书。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五、供应商进场前必须完成72学时安全教育培训、完成所有劳务及进场人员录入工商保险系统、完成购买100万人生意外保险。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六、如被确定供应商后未在10天内完成“第五条内容”，将视为放弃本次中标机会。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b w:val="0"/>
          <w:bCs/>
          <w:color w:val="auto"/>
          <w:sz w:val="32"/>
          <w:szCs w:val="32"/>
          <w:lang w:val="en-US" w:eastAsia="zh-CN"/>
        </w:rPr>
      </w:pPr>
      <w:r>
        <w:rPr>
          <w:rFonts w:hint="eastAsia" w:hAnsi="宋体"/>
          <w:b w:val="0"/>
          <w:bCs/>
          <w:color w:val="auto"/>
          <w:sz w:val="32"/>
          <w:szCs w:val="32"/>
          <w:lang w:val="en-US" w:eastAsia="zh-CN"/>
        </w:rPr>
        <w:t xml:space="preserve">七、清单所列的全部费用认为已被计入有标价的工程量清单所列各子目之中，未列子目但本次招标设计文件中已有明确作法而不予计量的工作，其费用应视为已分摊在本合同工程的有关子目的单价或总额价之中，除图纸有特殊变更外。                        </w:t>
      </w:r>
    </w:p>
    <w:p>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eastAsia" w:hAnsi="宋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eastAsia" w:hAnsi="宋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default" w:hAnsi="宋体"/>
          <w:b w:val="0"/>
          <w:bCs/>
          <w:color w:val="auto"/>
          <w:sz w:val="32"/>
          <w:szCs w:val="32"/>
          <w:lang w:val="en-US" w:eastAsia="zh-CN"/>
        </w:rPr>
      </w:pPr>
      <w:r>
        <w:rPr>
          <w:rFonts w:hint="eastAsia" w:hAnsi="宋体"/>
          <w:b w:val="0"/>
          <w:bCs/>
          <w:color w:val="auto"/>
          <w:sz w:val="32"/>
          <w:szCs w:val="32"/>
          <w:lang w:val="en-US" w:eastAsia="zh-CN"/>
        </w:rPr>
        <w:t xml:space="preserve">宁夏交通科学研究所有限公司     </w:t>
      </w:r>
    </w:p>
    <w:p>
      <w:pPr>
        <w:jc w:val="center"/>
        <w:rPr>
          <w:rFonts w:hAnsi="宋体"/>
          <w:b/>
          <w:sz w:val="24"/>
          <w:szCs w:val="24"/>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b w:val="0"/>
          <w:bCs/>
          <w:color w:val="auto"/>
          <w:sz w:val="32"/>
          <w:szCs w:val="32"/>
          <w:lang w:val="en-US" w:eastAsia="zh-CN"/>
        </w:rPr>
        <w:t xml:space="preserve">                                    2025年12月1</w:t>
      </w:r>
      <w:bookmarkStart w:id="0" w:name="_GoBack"/>
      <w:bookmarkEnd w:id="0"/>
      <w:r>
        <w:rPr>
          <w:rFonts w:hint="eastAsia" w:hAnsi="宋体"/>
          <w:b w:val="0"/>
          <w:bCs/>
          <w:color w:val="auto"/>
          <w:sz w:val="32"/>
          <w:szCs w:val="32"/>
          <w:lang w:val="en-US" w:eastAsia="zh-CN"/>
        </w:rPr>
        <w:t>日</w:t>
      </w:r>
    </w:p>
    <w:p>
      <w:pPr>
        <w:spacing w:line="0" w:lineRule="atLeast"/>
        <w:jc w:val="center"/>
        <w:rPr>
          <w:rFonts w:ascii="黑体" w:hAnsi="黑体" w:eastAsia="黑体" w:cs="Times New Roman"/>
          <w:b/>
          <w:bCs/>
          <w:spacing w:val="20"/>
          <w:sz w:val="52"/>
          <w:szCs w:val="52"/>
        </w:rPr>
      </w:pPr>
      <w:r>
        <w:rPr>
          <w:rFonts w:hint="eastAsia" w:ascii="黑体" w:hAnsi="黑体" w:eastAsia="黑体" w:cs="黑体"/>
          <w:b/>
          <w:bCs/>
          <w:spacing w:val="20"/>
          <w:sz w:val="52"/>
          <w:szCs w:val="52"/>
        </w:rPr>
        <w:t>竞争性</w:t>
      </w:r>
      <w:r>
        <w:rPr>
          <w:rFonts w:hint="eastAsia" w:ascii="黑体" w:hAnsi="黑体" w:eastAsia="黑体" w:cs="黑体"/>
          <w:b/>
          <w:bCs/>
          <w:spacing w:val="20"/>
          <w:sz w:val="52"/>
          <w:szCs w:val="52"/>
          <w:lang w:val="en-US" w:eastAsia="zh-CN"/>
        </w:rPr>
        <w:t>谈判</w:t>
      </w:r>
      <w:r>
        <w:rPr>
          <w:rFonts w:hint="eastAsia" w:ascii="黑体" w:hAnsi="黑体" w:eastAsia="黑体" w:cs="黑体"/>
          <w:b/>
          <w:bCs/>
          <w:spacing w:val="20"/>
          <w:sz w:val="52"/>
          <w:szCs w:val="52"/>
        </w:rPr>
        <w:t>记录表(第</w:t>
      </w:r>
      <w:r>
        <w:rPr>
          <w:rFonts w:hint="eastAsia" w:ascii="黑体" w:hAnsi="黑体" w:eastAsia="黑体" w:cs="黑体"/>
          <w:b/>
          <w:bCs/>
          <w:spacing w:val="20"/>
          <w:sz w:val="52"/>
          <w:szCs w:val="52"/>
          <w:lang w:val="en-US" w:eastAsia="zh-CN"/>
        </w:rPr>
        <w:t>一</w:t>
      </w:r>
      <w:r>
        <w:rPr>
          <w:rFonts w:hint="eastAsia" w:ascii="黑体" w:hAnsi="黑体" w:eastAsia="黑体" w:cs="黑体"/>
          <w:b/>
          <w:bCs/>
          <w:spacing w:val="20"/>
          <w:sz w:val="52"/>
          <w:szCs w:val="52"/>
        </w:rPr>
        <w:t>轮)</w:t>
      </w:r>
    </w:p>
    <w:p>
      <w:pPr>
        <w:spacing w:line="500" w:lineRule="exact"/>
        <w:ind w:firstLine="280" w:firstLineChars="100"/>
        <w:jc w:val="left"/>
        <w:rPr>
          <w:rFonts w:hint="eastAsia" w:ascii="Times New Roman" w:hAnsi="宋体" w:cs="宋体"/>
          <w:w w:val="90"/>
          <w:sz w:val="28"/>
          <w:szCs w:val="28"/>
          <w:lang w:val="zh-CN" w:eastAsia="zh-CN"/>
        </w:rPr>
      </w:pPr>
      <w:r>
        <w:rPr>
          <w:rFonts w:hint="eastAsia" w:ascii="Times New Roman" w:hAnsi="宋体" w:cs="宋体"/>
          <w:sz w:val="28"/>
          <w:szCs w:val="28"/>
        </w:rPr>
        <w:t>项目名称：</w:t>
      </w:r>
      <w:r>
        <w:rPr>
          <w:rFonts w:hint="eastAsia" w:ascii="宋体" w:hAnsi="宋体" w:cs="宋体"/>
          <w:b/>
          <w:sz w:val="24"/>
          <w:szCs w:val="24"/>
          <w:shd w:val="clear" w:color="auto" w:fill="FFFFFF"/>
          <w:lang w:val="en-US" w:eastAsia="zh-CN"/>
        </w:rPr>
        <w:t>宁夏交通科学研究所有限公司2025年日常养护G85银昆高速、S30古青高速三季度应急水毁维修劳务服务项目</w:t>
      </w:r>
    </w:p>
    <w:p>
      <w:pPr>
        <w:spacing w:line="500" w:lineRule="exact"/>
        <w:ind w:firstLine="281" w:firstLineChars="100"/>
        <w:jc w:val="left"/>
        <w:rPr>
          <w:rFonts w:ascii="Times New Roman" w:hAnsi="宋体" w:cs="宋体"/>
          <w:b/>
          <w:bCs/>
          <w:sz w:val="28"/>
          <w:szCs w:val="28"/>
        </w:rPr>
      </w:pPr>
      <w:r>
        <w:rPr>
          <w:rFonts w:hint="eastAsia" w:ascii="Times New Roman" w:hAnsi="宋体" w:cs="宋体"/>
          <w:b/>
          <w:bCs/>
          <w:sz w:val="28"/>
          <w:szCs w:val="28"/>
        </w:rPr>
        <w:t>报价时间：202</w:t>
      </w:r>
      <w:r>
        <w:rPr>
          <w:rFonts w:hint="eastAsia" w:ascii="Times New Roman" w:hAnsi="宋体" w:cs="宋体"/>
          <w:b/>
          <w:bCs/>
          <w:sz w:val="28"/>
          <w:szCs w:val="28"/>
          <w:lang w:val="en-US" w:eastAsia="zh-CN"/>
        </w:rPr>
        <w:t>5</w:t>
      </w:r>
      <w:r>
        <w:rPr>
          <w:rFonts w:hint="eastAsia" w:ascii="Times New Roman" w:hAnsi="宋体" w:cs="宋体"/>
          <w:b/>
          <w:bCs/>
          <w:sz w:val="28"/>
          <w:szCs w:val="28"/>
        </w:rPr>
        <w:t>年</w:t>
      </w:r>
      <w:r>
        <w:rPr>
          <w:rFonts w:hint="eastAsia" w:ascii="Times New Roman" w:hAnsi="宋体" w:cs="宋体"/>
          <w:b/>
          <w:bCs/>
          <w:sz w:val="28"/>
          <w:szCs w:val="28"/>
          <w:lang w:val="en-US" w:eastAsia="zh-CN"/>
        </w:rPr>
        <w:t xml:space="preserve"> </w:t>
      </w:r>
      <w:r>
        <w:rPr>
          <w:rFonts w:hint="eastAsia" w:ascii="Times New Roman" w:hAnsi="宋体" w:cs="宋体"/>
          <w:b/>
          <w:bCs/>
          <w:sz w:val="28"/>
          <w:szCs w:val="28"/>
        </w:rPr>
        <w:t>月</w:t>
      </w:r>
      <w:r>
        <w:rPr>
          <w:rFonts w:hint="eastAsia" w:ascii="Times New Roman" w:hAnsi="宋体" w:cs="宋体"/>
          <w:b/>
          <w:bCs/>
          <w:sz w:val="28"/>
          <w:szCs w:val="28"/>
          <w:lang w:val="en-US" w:eastAsia="zh-CN"/>
        </w:rPr>
        <w:t xml:space="preserve"> </w:t>
      </w:r>
      <w:r>
        <w:rPr>
          <w:rFonts w:hint="eastAsia" w:ascii="Times New Roman" w:hAnsi="宋体" w:cs="宋体"/>
          <w:b/>
          <w:bCs/>
          <w:sz w:val="28"/>
          <w:szCs w:val="28"/>
        </w:rPr>
        <w:t>日</w:t>
      </w:r>
    </w:p>
    <w:tbl>
      <w:tblPr>
        <w:tblStyle w:val="8"/>
        <w:tblW w:w="138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21"/>
        <w:gridCol w:w="3231"/>
        <w:gridCol w:w="1635"/>
        <w:gridCol w:w="4080"/>
        <w:gridCol w:w="2105"/>
        <w:gridCol w:w="201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2" w:hRule="atLeast"/>
          <w:jc w:val="center"/>
        </w:trPr>
        <w:tc>
          <w:tcPr>
            <w:tcW w:w="821" w:type="dxa"/>
            <w:noWrap w:val="0"/>
            <w:vAlign w:val="center"/>
          </w:tcPr>
          <w:p>
            <w:pPr>
              <w:jc w:val="center"/>
              <w:rPr>
                <w:rFonts w:cs="Times New Roman"/>
                <w:sz w:val="28"/>
                <w:szCs w:val="28"/>
              </w:rPr>
            </w:pPr>
            <w:r>
              <w:rPr>
                <w:rFonts w:hint="eastAsia" w:cs="Times New Roman"/>
                <w:sz w:val="28"/>
                <w:szCs w:val="28"/>
              </w:rPr>
              <w:t>序号</w:t>
            </w:r>
          </w:p>
        </w:tc>
        <w:tc>
          <w:tcPr>
            <w:tcW w:w="3231" w:type="dxa"/>
            <w:noWrap w:val="0"/>
            <w:vAlign w:val="center"/>
          </w:tcPr>
          <w:p>
            <w:pPr>
              <w:jc w:val="center"/>
              <w:rPr>
                <w:rFonts w:cs="Times New Roman"/>
                <w:sz w:val="28"/>
                <w:szCs w:val="28"/>
              </w:rPr>
            </w:pPr>
            <w:r>
              <w:rPr>
                <w:rFonts w:hint="eastAsia" w:cs="Times New Roman"/>
                <w:sz w:val="28"/>
                <w:szCs w:val="28"/>
              </w:rPr>
              <w:t>报价单位名称</w:t>
            </w:r>
          </w:p>
        </w:tc>
        <w:tc>
          <w:tcPr>
            <w:tcW w:w="1635" w:type="dxa"/>
            <w:noWrap w:val="0"/>
            <w:vAlign w:val="center"/>
          </w:tcPr>
          <w:p>
            <w:pPr>
              <w:jc w:val="center"/>
              <w:rPr>
                <w:rFonts w:hint="eastAsia" w:cs="Times New Roman"/>
                <w:sz w:val="28"/>
                <w:szCs w:val="28"/>
                <w:lang w:val="en-US" w:eastAsia="zh-CN"/>
              </w:rPr>
            </w:pPr>
            <w:r>
              <w:rPr>
                <w:rFonts w:hint="eastAsia" w:cs="Times New Roman"/>
                <w:sz w:val="28"/>
                <w:szCs w:val="28"/>
                <w:lang w:val="en-US" w:eastAsia="zh-CN"/>
              </w:rPr>
              <w:t>标段</w:t>
            </w:r>
          </w:p>
        </w:tc>
        <w:tc>
          <w:tcPr>
            <w:tcW w:w="4080" w:type="dxa"/>
            <w:noWrap w:val="0"/>
            <w:vAlign w:val="center"/>
          </w:tcPr>
          <w:p>
            <w:pPr>
              <w:jc w:val="center"/>
              <w:rPr>
                <w:rFonts w:hint="default" w:eastAsia="宋体" w:cs="Times New Roman"/>
                <w:sz w:val="28"/>
                <w:szCs w:val="28"/>
                <w:lang w:val="en-US" w:eastAsia="zh-CN"/>
              </w:rPr>
            </w:pPr>
            <w:r>
              <w:rPr>
                <w:rFonts w:hint="eastAsia" w:cs="Times New Roman"/>
                <w:sz w:val="28"/>
                <w:szCs w:val="28"/>
                <w:lang w:val="en-US" w:eastAsia="zh-CN"/>
              </w:rPr>
              <w:t>总报价（元）</w:t>
            </w:r>
          </w:p>
        </w:tc>
        <w:tc>
          <w:tcPr>
            <w:tcW w:w="2105" w:type="dxa"/>
            <w:noWrap w:val="0"/>
            <w:vAlign w:val="center"/>
          </w:tcPr>
          <w:p>
            <w:pPr>
              <w:jc w:val="center"/>
              <w:rPr>
                <w:rFonts w:cs="Times New Roman"/>
                <w:sz w:val="28"/>
                <w:szCs w:val="28"/>
              </w:rPr>
            </w:pPr>
            <w:r>
              <w:rPr>
                <w:rFonts w:hint="eastAsia" w:cs="Times New Roman"/>
                <w:sz w:val="28"/>
                <w:szCs w:val="28"/>
              </w:rPr>
              <w:t>报价单位法定代表人或委托代理人签字</w:t>
            </w:r>
          </w:p>
        </w:tc>
        <w:tc>
          <w:tcPr>
            <w:tcW w:w="2019" w:type="dxa"/>
            <w:noWrap w:val="0"/>
            <w:vAlign w:val="center"/>
          </w:tcPr>
          <w:p>
            <w:pPr>
              <w:jc w:val="center"/>
              <w:rPr>
                <w:rFonts w:hint="eastAsia" w:eastAsia="宋体" w:cs="Times New Roman"/>
                <w:sz w:val="28"/>
                <w:szCs w:val="28"/>
                <w:lang w:eastAsia="zh-CN"/>
              </w:rPr>
            </w:pPr>
            <w:r>
              <w:rPr>
                <w:rFonts w:hint="eastAsia" w:cs="Times New Roman"/>
                <w:sz w:val="28"/>
                <w:szCs w:val="2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1" w:hRule="atLeast"/>
          <w:jc w:val="center"/>
        </w:trPr>
        <w:tc>
          <w:tcPr>
            <w:tcW w:w="821" w:type="dxa"/>
            <w:noWrap w:val="0"/>
            <w:vAlign w:val="center"/>
          </w:tcPr>
          <w:p>
            <w:pPr>
              <w:jc w:val="center"/>
              <w:rPr>
                <w:rFonts w:cs="Times New Roman"/>
                <w:sz w:val="28"/>
                <w:szCs w:val="28"/>
              </w:rPr>
            </w:pPr>
            <w:r>
              <w:rPr>
                <w:rFonts w:hint="eastAsia" w:cs="Times New Roman"/>
                <w:sz w:val="28"/>
                <w:szCs w:val="28"/>
              </w:rPr>
              <w:t>1</w:t>
            </w:r>
          </w:p>
        </w:tc>
        <w:tc>
          <w:tcPr>
            <w:tcW w:w="3231" w:type="dxa"/>
            <w:noWrap w:val="0"/>
            <w:vAlign w:val="center"/>
          </w:tcPr>
          <w:p>
            <w:pPr>
              <w:jc w:val="center"/>
              <w:rPr>
                <w:rFonts w:cs="Times New Roman"/>
                <w:sz w:val="28"/>
                <w:szCs w:val="28"/>
              </w:rPr>
            </w:pPr>
          </w:p>
        </w:tc>
        <w:tc>
          <w:tcPr>
            <w:tcW w:w="1635" w:type="dxa"/>
            <w:noWrap w:val="0"/>
            <w:vAlign w:val="center"/>
          </w:tcPr>
          <w:p>
            <w:pPr>
              <w:jc w:val="center"/>
              <w:rPr>
                <w:rFonts w:hint="default" w:eastAsia="宋体" w:cs="Times New Roman"/>
                <w:sz w:val="28"/>
                <w:szCs w:val="28"/>
                <w:lang w:val="en-US" w:eastAsia="zh-CN"/>
              </w:rPr>
            </w:pPr>
          </w:p>
        </w:tc>
        <w:tc>
          <w:tcPr>
            <w:tcW w:w="4080" w:type="dxa"/>
            <w:noWrap w:val="0"/>
            <w:vAlign w:val="center"/>
          </w:tcPr>
          <w:p>
            <w:pPr>
              <w:jc w:val="both"/>
              <w:rPr>
                <w:rFonts w:hint="eastAsia" w:cs="Times New Roman"/>
                <w:sz w:val="28"/>
                <w:szCs w:val="28"/>
                <w:lang w:val="en-US" w:eastAsia="zh-CN"/>
              </w:rPr>
            </w:pPr>
            <w:r>
              <w:rPr>
                <w:rFonts w:hint="eastAsia" w:cs="Times New Roman"/>
                <w:sz w:val="28"/>
                <w:szCs w:val="28"/>
                <w:lang w:val="en-US" w:eastAsia="zh-CN"/>
              </w:rPr>
              <w:t>大写：</w:t>
            </w:r>
          </w:p>
          <w:p>
            <w:pPr>
              <w:pStyle w:val="2"/>
              <w:rPr>
                <w:rFonts w:hint="default"/>
                <w:lang w:val="en-US" w:eastAsia="zh-CN"/>
              </w:rPr>
            </w:pPr>
            <w:r>
              <w:rPr>
                <w:rFonts w:hint="eastAsia" w:cs="Times New Roman"/>
                <w:sz w:val="28"/>
                <w:szCs w:val="28"/>
                <w:lang w:val="en-US" w:eastAsia="zh-CN"/>
              </w:rPr>
              <w:t>小写：</w:t>
            </w:r>
          </w:p>
        </w:tc>
        <w:tc>
          <w:tcPr>
            <w:tcW w:w="2105" w:type="dxa"/>
            <w:noWrap w:val="0"/>
            <w:vAlign w:val="center"/>
          </w:tcPr>
          <w:p>
            <w:pPr>
              <w:jc w:val="center"/>
              <w:rPr>
                <w:rFonts w:cs="Times New Roman"/>
                <w:sz w:val="28"/>
                <w:szCs w:val="28"/>
              </w:rPr>
            </w:pPr>
          </w:p>
        </w:tc>
        <w:tc>
          <w:tcPr>
            <w:tcW w:w="2019" w:type="dxa"/>
            <w:noWrap w:val="0"/>
            <w:vAlign w:val="center"/>
          </w:tcPr>
          <w:p>
            <w:pPr>
              <w:jc w:val="center"/>
              <w:rPr>
                <w:rFonts w:hint="default" w:eastAsia="宋体" w:cs="Times New Roman"/>
                <w:sz w:val="28"/>
                <w:szCs w:val="28"/>
                <w:lang w:val="en-US" w:eastAsia="zh-CN"/>
              </w:rPr>
            </w:pPr>
            <w:r>
              <w:rPr>
                <w:rFonts w:hint="eastAsia" w:cs="Times New Roman"/>
                <w:sz w:val="28"/>
                <w:szCs w:val="28"/>
                <w:lang w:val="en-US" w:eastAsia="zh-CN"/>
              </w:rPr>
              <w:t>单价（元）下浮比例同总价下浮比例一致。</w:t>
            </w:r>
          </w:p>
        </w:tc>
      </w:tr>
    </w:tbl>
    <w:p>
      <w:pPr>
        <w:ind w:left="720" w:firstLine="480"/>
        <w:rPr>
          <w:rFonts w:hint="default"/>
          <w:sz w:val="24"/>
          <w:szCs w:val="24"/>
          <w:lang w:val="en-US" w:eastAsia="zh-CN"/>
        </w:rPr>
      </w:pPr>
      <w:r>
        <w:rPr>
          <w:rFonts w:hint="eastAsia" w:cs="Times New Roman"/>
          <w:sz w:val="28"/>
          <w:szCs w:val="28"/>
        </w:rPr>
        <w:t>采购人：宁夏交通科学研究所有限公司                   监督人员</w:t>
      </w:r>
      <w:r>
        <w:rPr>
          <w:rFonts w:hint="eastAsia" w:cs="Times New Roman"/>
          <w:sz w:val="28"/>
          <w:szCs w:val="28"/>
          <w:lang w:eastAsia="zh-CN"/>
        </w:rPr>
        <w:t>：</w:t>
      </w:r>
      <w:r>
        <w:rPr>
          <w:rFonts w:hint="eastAsia" w:cs="Times New Roman"/>
          <w:sz w:val="28"/>
          <w:szCs w:val="28"/>
          <w:lang w:val="en-US" w:eastAsia="zh-CN"/>
        </w:rPr>
        <w:t xml:space="preserve">               工作人员：</w:t>
      </w:r>
    </w:p>
    <w:p>
      <w:pPr>
        <w:rPr>
          <w:rFonts w:hint="default"/>
          <w:sz w:val="24"/>
          <w:szCs w:val="24"/>
          <w:lang w:val="en-US" w:eastAsia="zh-CN"/>
        </w:rPr>
      </w:pPr>
    </w:p>
    <w:p>
      <w:pPr>
        <w:pStyle w:val="2"/>
        <w:rPr>
          <w:rFonts w:hint="default"/>
          <w:sz w:val="24"/>
          <w:szCs w:val="24"/>
          <w:lang w:val="en-US" w:eastAsia="zh-CN"/>
        </w:rPr>
      </w:pPr>
    </w:p>
    <w:p>
      <w:pPr>
        <w:rPr>
          <w:rFonts w:hint="default"/>
          <w:sz w:val="24"/>
          <w:szCs w:val="24"/>
          <w:lang w:val="en-US" w:eastAsia="zh-CN"/>
        </w:rPr>
      </w:pPr>
    </w:p>
    <w:p>
      <w:pPr>
        <w:pStyle w:val="2"/>
        <w:rPr>
          <w:rFonts w:hint="default"/>
          <w:sz w:val="24"/>
          <w:szCs w:val="24"/>
          <w:lang w:val="en-US" w:eastAsia="zh-CN"/>
        </w:rPr>
      </w:pPr>
    </w:p>
    <w:p>
      <w:pPr>
        <w:rPr>
          <w:rFonts w:hint="default"/>
          <w:sz w:val="24"/>
          <w:szCs w:val="24"/>
          <w:lang w:val="en-US" w:eastAsia="zh-CN"/>
        </w:rPr>
      </w:pPr>
    </w:p>
    <w:p>
      <w:pPr>
        <w:pStyle w:val="2"/>
        <w:rPr>
          <w:rFonts w:hint="default"/>
          <w:sz w:val="24"/>
          <w:szCs w:val="24"/>
          <w:lang w:val="en-US" w:eastAsia="zh-CN"/>
        </w:rPr>
      </w:pPr>
    </w:p>
    <w:p>
      <w:pPr>
        <w:rPr>
          <w:rFonts w:hint="default"/>
          <w:sz w:val="24"/>
          <w:szCs w:val="24"/>
          <w:lang w:val="en-US" w:eastAsia="zh-CN"/>
        </w:rPr>
      </w:pPr>
    </w:p>
    <w:p>
      <w:pPr>
        <w:spacing w:line="0" w:lineRule="atLeast"/>
        <w:jc w:val="center"/>
        <w:rPr>
          <w:rFonts w:ascii="黑体" w:hAnsi="黑体" w:eastAsia="黑体" w:cs="Times New Roman"/>
          <w:b/>
          <w:bCs/>
          <w:spacing w:val="20"/>
          <w:sz w:val="52"/>
          <w:szCs w:val="52"/>
        </w:rPr>
      </w:pPr>
      <w:r>
        <w:rPr>
          <w:rFonts w:hint="eastAsia" w:ascii="黑体" w:hAnsi="黑体" w:eastAsia="黑体" w:cs="黑体"/>
          <w:b/>
          <w:bCs/>
          <w:spacing w:val="20"/>
          <w:sz w:val="52"/>
          <w:szCs w:val="52"/>
        </w:rPr>
        <w:t>竞争性</w:t>
      </w:r>
      <w:r>
        <w:rPr>
          <w:rFonts w:hint="eastAsia" w:ascii="黑体" w:hAnsi="黑体" w:eastAsia="黑体" w:cs="黑体"/>
          <w:b/>
          <w:bCs/>
          <w:spacing w:val="20"/>
          <w:sz w:val="52"/>
          <w:szCs w:val="52"/>
          <w:lang w:val="en-US" w:eastAsia="zh-CN"/>
        </w:rPr>
        <w:t>谈判</w:t>
      </w:r>
      <w:r>
        <w:rPr>
          <w:rFonts w:hint="eastAsia" w:ascii="黑体" w:hAnsi="黑体" w:eastAsia="黑体" w:cs="黑体"/>
          <w:b/>
          <w:bCs/>
          <w:spacing w:val="20"/>
          <w:sz w:val="52"/>
          <w:szCs w:val="52"/>
        </w:rPr>
        <w:t>记录表(第</w:t>
      </w:r>
      <w:r>
        <w:rPr>
          <w:rFonts w:hint="eastAsia" w:ascii="黑体" w:hAnsi="黑体" w:eastAsia="黑体" w:cs="黑体"/>
          <w:b/>
          <w:bCs/>
          <w:spacing w:val="20"/>
          <w:sz w:val="52"/>
          <w:szCs w:val="52"/>
          <w:lang w:val="en-US" w:eastAsia="zh-CN"/>
        </w:rPr>
        <w:t>二</w:t>
      </w:r>
      <w:r>
        <w:rPr>
          <w:rFonts w:hint="eastAsia" w:ascii="黑体" w:hAnsi="黑体" w:eastAsia="黑体" w:cs="黑体"/>
          <w:b/>
          <w:bCs/>
          <w:spacing w:val="20"/>
          <w:sz w:val="52"/>
          <w:szCs w:val="52"/>
        </w:rPr>
        <w:t>轮)</w:t>
      </w:r>
    </w:p>
    <w:p>
      <w:pPr>
        <w:spacing w:line="500" w:lineRule="exact"/>
        <w:jc w:val="left"/>
        <w:rPr>
          <w:rFonts w:hint="eastAsia" w:ascii="宋体" w:hAnsi="宋体" w:cs="宋体"/>
          <w:b/>
          <w:sz w:val="24"/>
          <w:szCs w:val="24"/>
          <w:shd w:val="clear" w:color="auto" w:fill="FFFFFF"/>
          <w:lang w:val="en-US" w:eastAsia="zh-CN"/>
        </w:rPr>
      </w:pPr>
      <w:r>
        <w:rPr>
          <w:rFonts w:hint="eastAsia" w:ascii="Times New Roman" w:hAnsi="宋体" w:cs="宋体"/>
          <w:sz w:val="28"/>
          <w:szCs w:val="28"/>
        </w:rPr>
        <w:t>项目名称：</w:t>
      </w:r>
      <w:r>
        <w:rPr>
          <w:rFonts w:hint="eastAsia" w:ascii="宋体" w:hAnsi="宋体" w:cs="宋体"/>
          <w:b/>
          <w:sz w:val="24"/>
          <w:szCs w:val="24"/>
          <w:shd w:val="clear" w:color="auto" w:fill="FFFFFF"/>
          <w:lang w:val="en-US" w:eastAsia="zh-CN"/>
        </w:rPr>
        <w:t>宁夏交通科学研究所有限公司2025年日常养护G85银昆高速、S30古青高速三季度应急水毁维修劳务服务项目</w:t>
      </w:r>
    </w:p>
    <w:p>
      <w:pPr>
        <w:spacing w:line="500" w:lineRule="exact"/>
        <w:jc w:val="left"/>
        <w:rPr>
          <w:rFonts w:ascii="Times New Roman" w:hAnsi="宋体" w:cs="宋体"/>
          <w:b/>
          <w:bCs/>
          <w:sz w:val="28"/>
          <w:szCs w:val="28"/>
        </w:rPr>
      </w:pPr>
      <w:r>
        <w:rPr>
          <w:rFonts w:hint="eastAsia" w:ascii="Times New Roman" w:hAnsi="宋体" w:cs="宋体"/>
          <w:b/>
          <w:bCs/>
          <w:sz w:val="28"/>
          <w:szCs w:val="28"/>
        </w:rPr>
        <w:t>报价时间：202</w:t>
      </w:r>
      <w:r>
        <w:rPr>
          <w:rFonts w:hint="eastAsia" w:ascii="Times New Roman" w:hAnsi="宋体" w:cs="宋体"/>
          <w:b/>
          <w:bCs/>
          <w:sz w:val="28"/>
          <w:szCs w:val="28"/>
          <w:lang w:val="en-US" w:eastAsia="zh-CN"/>
        </w:rPr>
        <w:t>5</w:t>
      </w:r>
      <w:r>
        <w:rPr>
          <w:rFonts w:hint="eastAsia" w:ascii="Times New Roman" w:hAnsi="宋体" w:cs="宋体"/>
          <w:b/>
          <w:bCs/>
          <w:sz w:val="28"/>
          <w:szCs w:val="28"/>
        </w:rPr>
        <w:t>年</w:t>
      </w:r>
      <w:r>
        <w:rPr>
          <w:rFonts w:hint="eastAsia" w:ascii="Times New Roman" w:hAnsi="宋体" w:cs="宋体"/>
          <w:b/>
          <w:bCs/>
          <w:sz w:val="28"/>
          <w:szCs w:val="28"/>
          <w:lang w:val="en-US" w:eastAsia="zh-CN"/>
        </w:rPr>
        <w:t xml:space="preserve"> </w:t>
      </w:r>
      <w:r>
        <w:rPr>
          <w:rFonts w:hint="eastAsia" w:ascii="Times New Roman" w:hAnsi="宋体" w:cs="宋体"/>
          <w:b/>
          <w:bCs/>
          <w:sz w:val="28"/>
          <w:szCs w:val="28"/>
        </w:rPr>
        <w:t>月</w:t>
      </w:r>
      <w:r>
        <w:rPr>
          <w:rFonts w:hint="eastAsia" w:ascii="Times New Roman" w:hAnsi="宋体" w:cs="宋体"/>
          <w:b/>
          <w:bCs/>
          <w:sz w:val="28"/>
          <w:szCs w:val="28"/>
          <w:lang w:val="en-US" w:eastAsia="zh-CN"/>
        </w:rPr>
        <w:t xml:space="preserve"> </w:t>
      </w:r>
      <w:r>
        <w:rPr>
          <w:rFonts w:hint="eastAsia" w:ascii="Times New Roman" w:hAnsi="宋体" w:cs="宋体"/>
          <w:b/>
          <w:bCs/>
          <w:sz w:val="28"/>
          <w:szCs w:val="28"/>
        </w:rPr>
        <w:t>日</w:t>
      </w:r>
    </w:p>
    <w:tbl>
      <w:tblPr>
        <w:tblStyle w:val="8"/>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73"/>
        <w:gridCol w:w="3440"/>
        <w:gridCol w:w="1739"/>
        <w:gridCol w:w="4342"/>
        <w:gridCol w:w="2239"/>
        <w:gridCol w:w="214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2" w:hRule="atLeast"/>
          <w:jc w:val="center"/>
        </w:trPr>
        <w:tc>
          <w:tcPr>
            <w:tcW w:w="295" w:type="pct"/>
            <w:noWrap w:val="0"/>
            <w:vAlign w:val="center"/>
          </w:tcPr>
          <w:p>
            <w:pPr>
              <w:jc w:val="center"/>
              <w:rPr>
                <w:rFonts w:cs="Times New Roman"/>
                <w:sz w:val="28"/>
                <w:szCs w:val="28"/>
              </w:rPr>
            </w:pPr>
            <w:r>
              <w:rPr>
                <w:rFonts w:hint="eastAsia" w:cs="Times New Roman"/>
                <w:sz w:val="28"/>
                <w:szCs w:val="28"/>
              </w:rPr>
              <w:t>序号</w:t>
            </w:r>
          </w:p>
        </w:tc>
        <w:tc>
          <w:tcPr>
            <w:tcW w:w="1163" w:type="pct"/>
            <w:noWrap w:val="0"/>
            <w:vAlign w:val="center"/>
          </w:tcPr>
          <w:p>
            <w:pPr>
              <w:jc w:val="center"/>
              <w:rPr>
                <w:rFonts w:cs="Times New Roman"/>
                <w:sz w:val="28"/>
                <w:szCs w:val="28"/>
              </w:rPr>
            </w:pPr>
            <w:r>
              <w:rPr>
                <w:rFonts w:hint="eastAsia" w:cs="Times New Roman"/>
                <w:sz w:val="28"/>
                <w:szCs w:val="28"/>
              </w:rPr>
              <w:t>报价单位名称</w:t>
            </w:r>
          </w:p>
        </w:tc>
        <w:tc>
          <w:tcPr>
            <w:tcW w:w="588" w:type="pct"/>
            <w:noWrap w:val="0"/>
            <w:vAlign w:val="center"/>
          </w:tcPr>
          <w:p>
            <w:pPr>
              <w:jc w:val="center"/>
              <w:rPr>
                <w:rFonts w:hint="eastAsia" w:cs="Times New Roman"/>
                <w:sz w:val="28"/>
                <w:szCs w:val="28"/>
                <w:lang w:val="en-US" w:eastAsia="zh-CN"/>
              </w:rPr>
            </w:pPr>
            <w:r>
              <w:rPr>
                <w:rFonts w:hint="eastAsia" w:cs="Times New Roman"/>
                <w:sz w:val="28"/>
                <w:szCs w:val="28"/>
                <w:lang w:val="en-US" w:eastAsia="zh-CN"/>
              </w:rPr>
              <w:t>标段</w:t>
            </w:r>
          </w:p>
        </w:tc>
        <w:tc>
          <w:tcPr>
            <w:tcW w:w="1468" w:type="pct"/>
            <w:noWrap w:val="0"/>
            <w:vAlign w:val="center"/>
          </w:tcPr>
          <w:p>
            <w:pPr>
              <w:jc w:val="center"/>
              <w:rPr>
                <w:rFonts w:hint="default" w:eastAsia="宋体" w:cs="Times New Roman"/>
                <w:sz w:val="28"/>
                <w:szCs w:val="28"/>
                <w:lang w:val="en-US" w:eastAsia="zh-CN"/>
              </w:rPr>
            </w:pPr>
            <w:r>
              <w:rPr>
                <w:rFonts w:hint="eastAsia" w:cs="Times New Roman"/>
                <w:sz w:val="28"/>
                <w:szCs w:val="28"/>
                <w:lang w:val="en-US" w:eastAsia="zh-CN"/>
              </w:rPr>
              <w:t>总报价（元）</w:t>
            </w:r>
          </w:p>
        </w:tc>
        <w:tc>
          <w:tcPr>
            <w:tcW w:w="757" w:type="pct"/>
            <w:noWrap w:val="0"/>
            <w:vAlign w:val="center"/>
          </w:tcPr>
          <w:p>
            <w:pPr>
              <w:jc w:val="center"/>
              <w:rPr>
                <w:rFonts w:cs="Times New Roman"/>
                <w:sz w:val="28"/>
                <w:szCs w:val="28"/>
              </w:rPr>
            </w:pPr>
            <w:r>
              <w:rPr>
                <w:rFonts w:hint="eastAsia" w:cs="Times New Roman"/>
                <w:sz w:val="28"/>
                <w:szCs w:val="28"/>
              </w:rPr>
              <w:t>报价单位法定代表人或委托代理人签字</w:t>
            </w:r>
          </w:p>
        </w:tc>
        <w:tc>
          <w:tcPr>
            <w:tcW w:w="726" w:type="pct"/>
            <w:noWrap w:val="0"/>
            <w:vAlign w:val="center"/>
          </w:tcPr>
          <w:p>
            <w:pPr>
              <w:jc w:val="center"/>
              <w:rPr>
                <w:rFonts w:hint="eastAsia" w:eastAsia="宋体" w:cs="Times New Roman"/>
                <w:sz w:val="28"/>
                <w:szCs w:val="28"/>
                <w:lang w:eastAsia="zh-CN"/>
              </w:rPr>
            </w:pPr>
            <w:r>
              <w:rPr>
                <w:rFonts w:hint="eastAsia" w:cs="Times New Roman"/>
                <w:sz w:val="28"/>
                <w:szCs w:val="2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1" w:hRule="atLeast"/>
          <w:jc w:val="center"/>
        </w:trPr>
        <w:tc>
          <w:tcPr>
            <w:tcW w:w="295" w:type="pct"/>
            <w:noWrap w:val="0"/>
            <w:vAlign w:val="center"/>
          </w:tcPr>
          <w:p>
            <w:pPr>
              <w:jc w:val="center"/>
              <w:rPr>
                <w:rFonts w:cs="Times New Roman"/>
                <w:sz w:val="28"/>
                <w:szCs w:val="28"/>
              </w:rPr>
            </w:pPr>
            <w:r>
              <w:rPr>
                <w:rFonts w:hint="eastAsia" w:cs="Times New Roman"/>
                <w:sz w:val="28"/>
                <w:szCs w:val="28"/>
              </w:rPr>
              <w:t>1</w:t>
            </w:r>
          </w:p>
        </w:tc>
        <w:tc>
          <w:tcPr>
            <w:tcW w:w="1163" w:type="pct"/>
            <w:noWrap w:val="0"/>
            <w:vAlign w:val="center"/>
          </w:tcPr>
          <w:p>
            <w:pPr>
              <w:jc w:val="center"/>
              <w:rPr>
                <w:rFonts w:cs="Times New Roman"/>
                <w:sz w:val="28"/>
                <w:szCs w:val="28"/>
              </w:rPr>
            </w:pPr>
          </w:p>
        </w:tc>
        <w:tc>
          <w:tcPr>
            <w:tcW w:w="588" w:type="pct"/>
            <w:noWrap w:val="0"/>
            <w:vAlign w:val="center"/>
          </w:tcPr>
          <w:p>
            <w:pPr>
              <w:jc w:val="center"/>
              <w:rPr>
                <w:rFonts w:hint="default" w:eastAsia="宋体" w:cs="Times New Roman"/>
                <w:sz w:val="28"/>
                <w:szCs w:val="28"/>
                <w:lang w:val="en-US" w:eastAsia="zh-CN"/>
              </w:rPr>
            </w:pPr>
          </w:p>
        </w:tc>
        <w:tc>
          <w:tcPr>
            <w:tcW w:w="1468" w:type="pct"/>
            <w:noWrap w:val="0"/>
            <w:vAlign w:val="center"/>
          </w:tcPr>
          <w:p>
            <w:pPr>
              <w:jc w:val="both"/>
              <w:rPr>
                <w:rFonts w:hint="eastAsia" w:cs="Times New Roman"/>
                <w:sz w:val="28"/>
                <w:szCs w:val="28"/>
                <w:lang w:val="en-US" w:eastAsia="zh-CN"/>
              </w:rPr>
            </w:pPr>
            <w:r>
              <w:rPr>
                <w:rFonts w:hint="eastAsia" w:cs="Times New Roman"/>
                <w:sz w:val="28"/>
                <w:szCs w:val="28"/>
                <w:lang w:val="en-US" w:eastAsia="zh-CN"/>
              </w:rPr>
              <w:t>大写：</w:t>
            </w:r>
          </w:p>
          <w:p>
            <w:pPr>
              <w:jc w:val="both"/>
              <w:rPr>
                <w:rFonts w:cs="Times New Roman"/>
                <w:sz w:val="28"/>
                <w:szCs w:val="28"/>
              </w:rPr>
            </w:pPr>
            <w:r>
              <w:rPr>
                <w:rFonts w:hint="eastAsia" w:cs="Times New Roman"/>
                <w:sz w:val="28"/>
                <w:szCs w:val="28"/>
                <w:lang w:val="en-US" w:eastAsia="zh-CN"/>
              </w:rPr>
              <w:t>小写：</w:t>
            </w:r>
          </w:p>
        </w:tc>
        <w:tc>
          <w:tcPr>
            <w:tcW w:w="757" w:type="pct"/>
            <w:noWrap w:val="0"/>
            <w:vAlign w:val="center"/>
          </w:tcPr>
          <w:p>
            <w:pPr>
              <w:jc w:val="center"/>
              <w:rPr>
                <w:rFonts w:cs="Times New Roman"/>
                <w:sz w:val="28"/>
                <w:szCs w:val="28"/>
              </w:rPr>
            </w:pPr>
          </w:p>
        </w:tc>
        <w:tc>
          <w:tcPr>
            <w:tcW w:w="726" w:type="pct"/>
            <w:noWrap w:val="0"/>
            <w:vAlign w:val="center"/>
          </w:tcPr>
          <w:p>
            <w:pPr>
              <w:jc w:val="center"/>
              <w:rPr>
                <w:rFonts w:hint="default" w:eastAsia="宋体" w:cs="Times New Roman"/>
                <w:sz w:val="28"/>
                <w:szCs w:val="28"/>
                <w:lang w:val="en-US" w:eastAsia="zh-CN"/>
              </w:rPr>
            </w:pPr>
            <w:r>
              <w:rPr>
                <w:rFonts w:hint="eastAsia" w:cs="Times New Roman"/>
                <w:sz w:val="28"/>
                <w:szCs w:val="28"/>
                <w:lang w:val="en-US" w:eastAsia="zh-CN"/>
              </w:rPr>
              <w:t>单价（元）下浮比例同总价下浮比例一致。</w:t>
            </w:r>
          </w:p>
        </w:tc>
      </w:tr>
    </w:tbl>
    <w:p>
      <w:pPr>
        <w:ind w:left="720" w:firstLine="480"/>
        <w:rPr>
          <w:rFonts w:hint="default"/>
          <w:sz w:val="24"/>
          <w:szCs w:val="24"/>
          <w:lang w:val="en-US" w:eastAsia="zh-CN"/>
        </w:rPr>
      </w:pPr>
      <w:r>
        <w:rPr>
          <w:rFonts w:hint="eastAsia" w:cs="Times New Roman"/>
          <w:sz w:val="28"/>
          <w:szCs w:val="28"/>
        </w:rPr>
        <w:t>采购人：宁夏交通科学研究所有限公司                   监督人员</w:t>
      </w:r>
      <w:r>
        <w:rPr>
          <w:rFonts w:hint="eastAsia" w:cs="Times New Roman"/>
          <w:sz w:val="28"/>
          <w:szCs w:val="28"/>
          <w:lang w:eastAsia="zh-CN"/>
        </w:rPr>
        <w:t>：</w:t>
      </w:r>
      <w:r>
        <w:rPr>
          <w:rFonts w:hint="eastAsia" w:cs="Times New Roman"/>
          <w:sz w:val="28"/>
          <w:szCs w:val="28"/>
          <w:lang w:val="en-US" w:eastAsia="zh-CN"/>
        </w:rPr>
        <w:t xml:space="preserve">               工作人员：</w:t>
      </w:r>
    </w:p>
    <w:p>
      <w:pPr>
        <w:pStyle w:val="2"/>
        <w:rPr>
          <w:rFonts w:hint="default"/>
          <w:lang w:val="en-US" w:eastAsia="zh-CN"/>
        </w:rPr>
      </w:pPr>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RhYmE3ZmNiN2YwZTc2ODNhNmZhMjcyYWMwODM5ZDIifQ=="/>
    <w:docVar w:name="KSO_WPS_MARK_KEY" w:val="507ba383-1ac0-4ac7-8d52-27a9e50deedb"/>
  </w:docVars>
  <w:rsids>
    <w:rsidRoot w:val="00172A27"/>
    <w:rsid w:val="0002347D"/>
    <w:rsid w:val="000450E9"/>
    <w:rsid w:val="0005419A"/>
    <w:rsid w:val="000B1E32"/>
    <w:rsid w:val="00107CDF"/>
    <w:rsid w:val="00113DB6"/>
    <w:rsid w:val="00120002"/>
    <w:rsid w:val="00154E04"/>
    <w:rsid w:val="00164D77"/>
    <w:rsid w:val="00172A27"/>
    <w:rsid w:val="0017321D"/>
    <w:rsid w:val="00176A5B"/>
    <w:rsid w:val="001868F4"/>
    <w:rsid w:val="00197EBD"/>
    <w:rsid w:val="001A08CC"/>
    <w:rsid w:val="001A19D9"/>
    <w:rsid w:val="001E18ED"/>
    <w:rsid w:val="0022165A"/>
    <w:rsid w:val="00222976"/>
    <w:rsid w:val="002238D9"/>
    <w:rsid w:val="002B2710"/>
    <w:rsid w:val="002D2CAD"/>
    <w:rsid w:val="002E5490"/>
    <w:rsid w:val="002E72CD"/>
    <w:rsid w:val="002F2017"/>
    <w:rsid w:val="003167AC"/>
    <w:rsid w:val="0031726C"/>
    <w:rsid w:val="00334C5A"/>
    <w:rsid w:val="00343632"/>
    <w:rsid w:val="00362C08"/>
    <w:rsid w:val="003A5D9A"/>
    <w:rsid w:val="003B6A34"/>
    <w:rsid w:val="003C15C6"/>
    <w:rsid w:val="003E3098"/>
    <w:rsid w:val="003E678A"/>
    <w:rsid w:val="003F3FB8"/>
    <w:rsid w:val="003F4F78"/>
    <w:rsid w:val="003F4F92"/>
    <w:rsid w:val="004019DA"/>
    <w:rsid w:val="00430947"/>
    <w:rsid w:val="00477D0A"/>
    <w:rsid w:val="004A071E"/>
    <w:rsid w:val="004F1851"/>
    <w:rsid w:val="00501CB9"/>
    <w:rsid w:val="00506C00"/>
    <w:rsid w:val="00517A81"/>
    <w:rsid w:val="00533C58"/>
    <w:rsid w:val="00591DAF"/>
    <w:rsid w:val="005C516D"/>
    <w:rsid w:val="005E467E"/>
    <w:rsid w:val="005F2B4A"/>
    <w:rsid w:val="006349E1"/>
    <w:rsid w:val="006407A4"/>
    <w:rsid w:val="006425C1"/>
    <w:rsid w:val="00647C81"/>
    <w:rsid w:val="006714D3"/>
    <w:rsid w:val="006956ED"/>
    <w:rsid w:val="006B0BF0"/>
    <w:rsid w:val="006F3A8E"/>
    <w:rsid w:val="007111D8"/>
    <w:rsid w:val="007179D3"/>
    <w:rsid w:val="00724730"/>
    <w:rsid w:val="00737352"/>
    <w:rsid w:val="007424F6"/>
    <w:rsid w:val="00774407"/>
    <w:rsid w:val="007B12B3"/>
    <w:rsid w:val="007C492F"/>
    <w:rsid w:val="007D034F"/>
    <w:rsid w:val="007F558C"/>
    <w:rsid w:val="008046DD"/>
    <w:rsid w:val="00812CD4"/>
    <w:rsid w:val="008213AA"/>
    <w:rsid w:val="008538AC"/>
    <w:rsid w:val="00862FB0"/>
    <w:rsid w:val="00866654"/>
    <w:rsid w:val="0086680E"/>
    <w:rsid w:val="00882C86"/>
    <w:rsid w:val="00894537"/>
    <w:rsid w:val="009157D6"/>
    <w:rsid w:val="00940948"/>
    <w:rsid w:val="0097117B"/>
    <w:rsid w:val="009719C0"/>
    <w:rsid w:val="00984E4D"/>
    <w:rsid w:val="00997D9A"/>
    <w:rsid w:val="009C417F"/>
    <w:rsid w:val="009E0BBD"/>
    <w:rsid w:val="00A01426"/>
    <w:rsid w:val="00A132FB"/>
    <w:rsid w:val="00A167B2"/>
    <w:rsid w:val="00A238EE"/>
    <w:rsid w:val="00A2585C"/>
    <w:rsid w:val="00A518C6"/>
    <w:rsid w:val="00A65E96"/>
    <w:rsid w:val="00AA4B92"/>
    <w:rsid w:val="00AB4996"/>
    <w:rsid w:val="00AB4E92"/>
    <w:rsid w:val="00AD09F8"/>
    <w:rsid w:val="00AD46A3"/>
    <w:rsid w:val="00AF5811"/>
    <w:rsid w:val="00B15721"/>
    <w:rsid w:val="00B36245"/>
    <w:rsid w:val="00B55C49"/>
    <w:rsid w:val="00B609A4"/>
    <w:rsid w:val="00B6105C"/>
    <w:rsid w:val="00B82A93"/>
    <w:rsid w:val="00B913B1"/>
    <w:rsid w:val="00BB7765"/>
    <w:rsid w:val="00BC7C3D"/>
    <w:rsid w:val="00C307DC"/>
    <w:rsid w:val="00C45F37"/>
    <w:rsid w:val="00C82376"/>
    <w:rsid w:val="00C91324"/>
    <w:rsid w:val="00CC1FB1"/>
    <w:rsid w:val="00CF5A6E"/>
    <w:rsid w:val="00D24284"/>
    <w:rsid w:val="00DB05F1"/>
    <w:rsid w:val="00DC4BA9"/>
    <w:rsid w:val="00DC7974"/>
    <w:rsid w:val="00DD75D9"/>
    <w:rsid w:val="00DF1AD0"/>
    <w:rsid w:val="00E01222"/>
    <w:rsid w:val="00E1269E"/>
    <w:rsid w:val="00E34DAE"/>
    <w:rsid w:val="00E36876"/>
    <w:rsid w:val="00E53885"/>
    <w:rsid w:val="00E57E3F"/>
    <w:rsid w:val="00EA7BB6"/>
    <w:rsid w:val="00EC73D3"/>
    <w:rsid w:val="00EE6D44"/>
    <w:rsid w:val="00EE7CA0"/>
    <w:rsid w:val="00EF1493"/>
    <w:rsid w:val="00EF6F43"/>
    <w:rsid w:val="00F616C3"/>
    <w:rsid w:val="00FB20F1"/>
    <w:rsid w:val="00FC00DF"/>
    <w:rsid w:val="00FC524F"/>
    <w:rsid w:val="00FC6201"/>
    <w:rsid w:val="00FF62B6"/>
    <w:rsid w:val="01893FFB"/>
    <w:rsid w:val="02397F74"/>
    <w:rsid w:val="023C6A1F"/>
    <w:rsid w:val="02697D40"/>
    <w:rsid w:val="035547A3"/>
    <w:rsid w:val="037956BB"/>
    <w:rsid w:val="056169D7"/>
    <w:rsid w:val="06AA2814"/>
    <w:rsid w:val="070A357C"/>
    <w:rsid w:val="090D0A22"/>
    <w:rsid w:val="0A465B8E"/>
    <w:rsid w:val="0A8B0F61"/>
    <w:rsid w:val="0B3F7726"/>
    <w:rsid w:val="0B5346A2"/>
    <w:rsid w:val="0BF57579"/>
    <w:rsid w:val="0C9F50CC"/>
    <w:rsid w:val="0DBA6624"/>
    <w:rsid w:val="0E426D2F"/>
    <w:rsid w:val="0E82435A"/>
    <w:rsid w:val="0F2F7CC1"/>
    <w:rsid w:val="0FEB2435"/>
    <w:rsid w:val="11253237"/>
    <w:rsid w:val="12472434"/>
    <w:rsid w:val="12672BED"/>
    <w:rsid w:val="12750A64"/>
    <w:rsid w:val="12BB03C6"/>
    <w:rsid w:val="13211843"/>
    <w:rsid w:val="16637409"/>
    <w:rsid w:val="176E20C3"/>
    <w:rsid w:val="17770999"/>
    <w:rsid w:val="185D7A2D"/>
    <w:rsid w:val="1A4743E4"/>
    <w:rsid w:val="1B970022"/>
    <w:rsid w:val="1BDA04DB"/>
    <w:rsid w:val="1C0B5533"/>
    <w:rsid w:val="1D344C11"/>
    <w:rsid w:val="1D365BE3"/>
    <w:rsid w:val="1DEA2AB4"/>
    <w:rsid w:val="1EBF4E26"/>
    <w:rsid w:val="20993E5F"/>
    <w:rsid w:val="21C747EF"/>
    <w:rsid w:val="21CE5D30"/>
    <w:rsid w:val="22223FA5"/>
    <w:rsid w:val="223571CD"/>
    <w:rsid w:val="226E2784"/>
    <w:rsid w:val="22DA7AA0"/>
    <w:rsid w:val="242F6B10"/>
    <w:rsid w:val="24F10B3C"/>
    <w:rsid w:val="250C32D4"/>
    <w:rsid w:val="25150CE0"/>
    <w:rsid w:val="25395E6A"/>
    <w:rsid w:val="25506803"/>
    <w:rsid w:val="25B768BB"/>
    <w:rsid w:val="271433BD"/>
    <w:rsid w:val="276462CA"/>
    <w:rsid w:val="2874236C"/>
    <w:rsid w:val="297E1B41"/>
    <w:rsid w:val="2A1F3308"/>
    <w:rsid w:val="2A3978FB"/>
    <w:rsid w:val="2AC80F99"/>
    <w:rsid w:val="2C1E7369"/>
    <w:rsid w:val="2E8A57EA"/>
    <w:rsid w:val="2F4C670F"/>
    <w:rsid w:val="30217958"/>
    <w:rsid w:val="30C14BDE"/>
    <w:rsid w:val="31FC63A0"/>
    <w:rsid w:val="32272DCA"/>
    <w:rsid w:val="32326807"/>
    <w:rsid w:val="324C5B30"/>
    <w:rsid w:val="32540007"/>
    <w:rsid w:val="33D812E6"/>
    <w:rsid w:val="342F008F"/>
    <w:rsid w:val="34B72CA3"/>
    <w:rsid w:val="36E47B9D"/>
    <w:rsid w:val="36E63330"/>
    <w:rsid w:val="37C03A20"/>
    <w:rsid w:val="37CA67C0"/>
    <w:rsid w:val="382D5F12"/>
    <w:rsid w:val="397B655D"/>
    <w:rsid w:val="39C42C58"/>
    <w:rsid w:val="39EF7ACC"/>
    <w:rsid w:val="3A255BB6"/>
    <w:rsid w:val="3A7F7554"/>
    <w:rsid w:val="3C1C7DAA"/>
    <w:rsid w:val="3C952FF5"/>
    <w:rsid w:val="3D457445"/>
    <w:rsid w:val="40EC76EA"/>
    <w:rsid w:val="42C9612C"/>
    <w:rsid w:val="42DC790B"/>
    <w:rsid w:val="447B522A"/>
    <w:rsid w:val="462A5B0A"/>
    <w:rsid w:val="462B59EC"/>
    <w:rsid w:val="46764128"/>
    <w:rsid w:val="46D44874"/>
    <w:rsid w:val="472738A0"/>
    <w:rsid w:val="49474073"/>
    <w:rsid w:val="4A186D85"/>
    <w:rsid w:val="4A7215BD"/>
    <w:rsid w:val="4AD97C79"/>
    <w:rsid w:val="4B1E03CD"/>
    <w:rsid w:val="4CAE0C3D"/>
    <w:rsid w:val="4D19347A"/>
    <w:rsid w:val="4D856DE1"/>
    <w:rsid w:val="4F1E22C3"/>
    <w:rsid w:val="50641063"/>
    <w:rsid w:val="510B569D"/>
    <w:rsid w:val="537F622C"/>
    <w:rsid w:val="544216D7"/>
    <w:rsid w:val="55CC23C0"/>
    <w:rsid w:val="573A1EDC"/>
    <w:rsid w:val="57D4796A"/>
    <w:rsid w:val="57EF7117"/>
    <w:rsid w:val="59392552"/>
    <w:rsid w:val="5990372C"/>
    <w:rsid w:val="59C80556"/>
    <w:rsid w:val="5A60656A"/>
    <w:rsid w:val="5BB42458"/>
    <w:rsid w:val="5C127568"/>
    <w:rsid w:val="5C3E3149"/>
    <w:rsid w:val="5D015BB7"/>
    <w:rsid w:val="5D6C5006"/>
    <w:rsid w:val="5DB84F1E"/>
    <w:rsid w:val="610B6B74"/>
    <w:rsid w:val="61734C99"/>
    <w:rsid w:val="61A11B43"/>
    <w:rsid w:val="62C714BC"/>
    <w:rsid w:val="64087BA8"/>
    <w:rsid w:val="65BA6D8B"/>
    <w:rsid w:val="65C91FA9"/>
    <w:rsid w:val="667678A1"/>
    <w:rsid w:val="6699393C"/>
    <w:rsid w:val="681E00FA"/>
    <w:rsid w:val="69F83857"/>
    <w:rsid w:val="6A352CCF"/>
    <w:rsid w:val="6BA85E14"/>
    <w:rsid w:val="6E230BA7"/>
    <w:rsid w:val="6E502713"/>
    <w:rsid w:val="6F6C489B"/>
    <w:rsid w:val="712D72BF"/>
    <w:rsid w:val="716C2A69"/>
    <w:rsid w:val="72AB623A"/>
    <w:rsid w:val="732A3FF1"/>
    <w:rsid w:val="75857BA5"/>
    <w:rsid w:val="75CE061A"/>
    <w:rsid w:val="77B84A6D"/>
    <w:rsid w:val="77B95F79"/>
    <w:rsid w:val="783130A8"/>
    <w:rsid w:val="78541609"/>
    <w:rsid w:val="78741E1D"/>
    <w:rsid w:val="788C4E8E"/>
    <w:rsid w:val="7A69691C"/>
    <w:rsid w:val="7AE76131"/>
    <w:rsid w:val="7D6368C9"/>
    <w:rsid w:val="7E5F7E30"/>
    <w:rsid w:val="7E882E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line="240" w:lineRule="auto"/>
    </w:pPr>
    <w:rPr>
      <w:spacing w:val="0"/>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Body Text 2"/>
    <w:basedOn w:val="1"/>
    <w:qFormat/>
    <w:uiPriority w:val="0"/>
    <w:pPr>
      <w:spacing w:after="120" w:line="480" w:lineRule="auto"/>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rFonts w:cs="Times New Roman"/>
      <w:color w:val="0000FF"/>
      <w:u w:val="single"/>
    </w:rPr>
  </w:style>
  <w:style w:type="character" w:styleId="12">
    <w:name w:val="footnote reference"/>
    <w:basedOn w:val="9"/>
    <w:semiHidden/>
    <w:qFormat/>
    <w:uiPriority w:val="0"/>
    <w:rPr>
      <w:rFonts w:cs="Times New Roman"/>
      <w:vertAlign w:val="superscript"/>
    </w:rPr>
  </w:style>
  <w:style w:type="character" w:customStyle="1" w:styleId="13">
    <w:name w:val="标题 1 Char"/>
    <w:basedOn w:val="9"/>
    <w:link w:val="3"/>
    <w:qFormat/>
    <w:locked/>
    <w:uiPriority w:val="0"/>
    <w:rPr>
      <w:rFonts w:eastAsia="宋体"/>
      <w:b/>
      <w:bCs/>
      <w:kern w:val="44"/>
      <w:sz w:val="44"/>
      <w:szCs w:val="44"/>
      <w:lang w:val="en-US" w:eastAsia="zh-CN" w:bidi="ar-SA"/>
    </w:rPr>
  </w:style>
  <w:style w:type="character" w:customStyle="1" w:styleId="14">
    <w:name w:val="font01"/>
    <w:basedOn w:val="9"/>
    <w:qFormat/>
    <w:uiPriority w:val="0"/>
    <w:rPr>
      <w:rFonts w:ascii="Calibri" w:hAnsi="Calibri" w:cs="Calibri"/>
      <w:color w:val="000000"/>
      <w:sz w:val="24"/>
      <w:szCs w:val="24"/>
      <w:u w:val="none"/>
    </w:rPr>
  </w:style>
  <w:style w:type="character" w:customStyle="1" w:styleId="15">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F257-23C1-4C97-AB7C-E246AB0392B3}">
  <ds:schemaRefs/>
</ds:datastoreItem>
</file>

<file path=docProps/app.xml><?xml version="1.0" encoding="utf-8"?>
<Properties xmlns="http://schemas.openxmlformats.org/officeDocument/2006/extended-properties" xmlns:vt="http://schemas.openxmlformats.org/officeDocument/2006/docPropsVTypes">
  <Template>Normal</Template>
  <Pages>4</Pages>
  <Words>997</Words>
  <Characters>1033</Characters>
  <Lines>7</Lines>
  <Paragraphs>1</Paragraphs>
  <TotalTime>1</TotalTime>
  <ScaleCrop>false</ScaleCrop>
  <LinksUpToDate>false</LinksUpToDate>
  <CharactersWithSpaces>1170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2019-09-04T10:31:00Z</dcterms:created>
  <dc:creator>YangLe</dc:creator>
  <cp:lastModifiedBy>薄荷味@少年</cp:lastModifiedBy>
  <cp:lastPrinted>2023-04-11T04:42:00Z</cp:lastPrinted>
  <dcterms:modified xsi:type="dcterms:W3CDTF">2025-12-05T01:30:47Z</dcterms:modified>
  <dc:title>宁夏交通科研所关于青银项目驻地二办试验室</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17C39C663B1E47EA86B60DC81AE34057</vt:lpwstr>
  </property>
  <property fmtid="{D5CDD505-2E9C-101B-9397-08002B2CF9AE}" pid="4" name="commondata">
    <vt:lpwstr>eyJoZGlkIjoiM2FhNTQ4MDM5ODBmMjMwNGNjYzhkNDQzNzhlZjZjYWMifQ==</vt:lpwstr>
  </property>
  <property fmtid="{D5CDD505-2E9C-101B-9397-08002B2CF9AE}" pid="5" name="KSOTemplateDocerSaveRecord">
    <vt:lpwstr>eyJoZGlkIjoiY2FmOThkZWNjMTUzNjYzM2NjMzFmN2Y5YjA1NTg3ZGYiLCJ1c2VySWQiOiIzOTMzNzkzMTkifQ==</vt:lpwstr>
  </property>
</Properties>
</file>