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交通安全设施工程劳务供应商备选库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2024年5月12日9点00分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宁夏交通科学研究所有限公司2024年日常养护交通安全设施养护劳务服务采购项目（第一批）（标志牌更换及安装）</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宁夏交通科学研究所有限公司2024年日常养护交通安全设施养护劳务服务采购项目（第一批）（标志牌更换及安装）</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98320.00</w:t>
      </w:r>
      <w:r>
        <w:rPr>
          <w:rFonts w:hint="eastAsia" w:hAnsi="宋体"/>
          <w:b w:val="0"/>
          <w:bCs/>
          <w:sz w:val="32"/>
          <w:szCs w:val="32"/>
          <w:lang w:val="en-US" w:eastAsia="zh-CN"/>
        </w:rPr>
        <w:t>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bookmarkStart w:id="0" w:name="_GoBack"/>
      <w:bookmarkEnd w:id="0"/>
      <w:r>
        <w:rPr>
          <w:rFonts w:hint="eastAsia" w:hAnsi="宋体"/>
          <w:b w:val="0"/>
          <w:bCs/>
          <w:color w:val="auto"/>
          <w:sz w:val="32"/>
          <w:szCs w:val="32"/>
          <w:lang w:val="en-US" w:eastAsia="zh-CN"/>
        </w:rPr>
        <w:t>，未参会或未回复的供应商视为自愿放弃本次报价资格，将按照公司相关办法进行处罚。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2024年5月11日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宁夏交通科学研究所有限公司2024年日常养护交通安全设施养护劳务服务采购项目（第一批）（标志牌更换及安装）</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center"/>
              <w:rPr>
                <w:rFonts w:cs="Times New Roman"/>
                <w:sz w:val="28"/>
                <w:szCs w:val="28"/>
              </w:rPr>
            </w:pP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宁夏交通科学研究所有限公司2024年日常养护交通安全设施养护劳务服务采购项目（第一批）（标志牌更换及安装）</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center"/>
              <w:rPr>
                <w:rFonts w:cs="Times New Roman"/>
                <w:sz w:val="28"/>
                <w:szCs w:val="28"/>
              </w:rPr>
            </w:pP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EwNjFlZTAxZGJlNWQ3ODU0OTM1Mzc5MThhMGU3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979</Words>
  <Characters>1020</Characters>
  <Lines>7</Lines>
  <Paragraphs>1</Paragraphs>
  <TotalTime>8</TotalTime>
  <ScaleCrop>false</ScaleCrop>
  <LinksUpToDate>false</LinksUpToDate>
  <CharactersWithSpaces>1159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喝醉的鱼</cp:lastModifiedBy>
  <cp:lastPrinted>2023-04-11T04:42:00Z</cp:lastPrinted>
  <dcterms:modified xsi:type="dcterms:W3CDTF">2024-05-10T11:30:22Z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