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FA3A2F8">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243F24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路面劳务供应商备选库</w:t>
      </w:r>
      <w:r>
        <w:rPr>
          <w:rFonts w:hint="eastAsia" w:hAnsi="宋体"/>
          <w:b w:val="0"/>
          <w:bCs/>
          <w:sz w:val="32"/>
          <w:szCs w:val="32"/>
          <w:u w:val="none"/>
          <w:lang w:val="en-US" w:eastAsia="zh-CN"/>
        </w:rPr>
        <w:t>：</w:t>
      </w:r>
    </w:p>
    <w:p w14:paraId="797F345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2024年8月1日15点00分</w:t>
      </w:r>
      <w:r>
        <w:rPr>
          <w:rFonts w:hint="eastAsia" w:hAnsi="宋体"/>
          <w:b w:val="0"/>
          <w:bCs/>
          <w:sz w:val="32"/>
          <w:szCs w:val="32"/>
          <w:lang w:val="en-US" w:eastAsia="zh-CN"/>
        </w:rPr>
        <w:t>参加</w:t>
      </w:r>
      <w:r>
        <w:rPr>
          <w:rStyle w:val="10"/>
          <w:rFonts w:hint="eastAsia" w:ascii="宋体" w:hAnsi="宋体" w:eastAsia="宋体" w:cs="宋体"/>
          <w:i w:val="0"/>
          <w:iCs w:val="0"/>
          <w:caps w:val="0"/>
          <w:color w:val="000000"/>
          <w:spacing w:val="0"/>
          <w:sz w:val="28"/>
          <w:szCs w:val="28"/>
          <w:shd w:val="clear" w:fill="FFFFFF"/>
        </w:rPr>
        <w:t>宁夏交通科学研究所有限公司2024年日常养护灵武北收费站处治项目</w:t>
      </w:r>
      <w:r>
        <w:rPr>
          <w:rFonts w:hint="eastAsia" w:hAnsi="宋体"/>
          <w:b w:val="0"/>
          <w:bCs/>
          <w:sz w:val="32"/>
          <w:szCs w:val="32"/>
          <w:lang w:val="en-US" w:eastAsia="zh-CN"/>
        </w:rPr>
        <w:t>竞价活动。</w:t>
      </w:r>
    </w:p>
    <w:p w14:paraId="7126495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1C1171F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本项目划分为1个标段：宁夏交通科学研究所有限公司2024年日常养护灵武北收费站处治项目。</w:t>
      </w:r>
    </w:p>
    <w:p w14:paraId="3473465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05B72AD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5B0BE50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24F8CA6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071DE8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4DA0C8F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（三）本次总限价为：706680.27 元。</w:t>
      </w:r>
    </w:p>
    <w:p w14:paraId="4DFC67B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48EFC20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747CE3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499C60F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14698B4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EA3FF87">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30E4B1F8">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7E7E96E7">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2024年7月31日</w:t>
      </w:r>
    </w:p>
    <w:p w14:paraId="6DD198F3">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3BD67DF3">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Style w:val="10"/>
          <w:rFonts w:hint="eastAsia" w:ascii="宋体" w:hAnsi="宋体" w:eastAsia="宋体" w:cs="宋体"/>
          <w:i w:val="0"/>
          <w:iCs w:val="0"/>
          <w:caps w:val="0"/>
          <w:color w:val="000000"/>
          <w:spacing w:val="0"/>
          <w:sz w:val="28"/>
          <w:szCs w:val="28"/>
          <w:shd w:val="clear" w:fill="FFFFFF"/>
        </w:rPr>
        <w:t>宁夏交通科学研究所有限公司2024年日常养护灵武北收费站处治项目</w:t>
      </w:r>
    </w:p>
    <w:p w14:paraId="784F0F1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405796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36930BD8">
            <w:pPr>
              <w:jc w:val="center"/>
              <w:rPr>
                <w:rFonts w:cs="Times New Roman"/>
                <w:sz w:val="28"/>
                <w:szCs w:val="28"/>
              </w:rPr>
            </w:pPr>
            <w:r>
              <w:rPr>
                <w:rFonts w:hint="eastAsia" w:cs="Times New Roman"/>
                <w:sz w:val="28"/>
                <w:szCs w:val="28"/>
              </w:rPr>
              <w:t>序号</w:t>
            </w:r>
          </w:p>
        </w:tc>
        <w:tc>
          <w:tcPr>
            <w:tcW w:w="3231" w:type="dxa"/>
            <w:noWrap w:val="0"/>
            <w:vAlign w:val="center"/>
          </w:tcPr>
          <w:p w14:paraId="60C1B54D">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35494997">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50343360">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6A05802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ED40F4A">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476A3E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BC37E35">
            <w:pPr>
              <w:jc w:val="center"/>
              <w:rPr>
                <w:rFonts w:cs="Times New Roman"/>
                <w:sz w:val="28"/>
                <w:szCs w:val="28"/>
              </w:rPr>
            </w:pPr>
            <w:r>
              <w:rPr>
                <w:rFonts w:hint="eastAsia" w:cs="Times New Roman"/>
                <w:sz w:val="28"/>
                <w:szCs w:val="28"/>
              </w:rPr>
              <w:t>1</w:t>
            </w:r>
          </w:p>
        </w:tc>
        <w:tc>
          <w:tcPr>
            <w:tcW w:w="3231" w:type="dxa"/>
            <w:noWrap w:val="0"/>
            <w:vAlign w:val="center"/>
          </w:tcPr>
          <w:p w14:paraId="5C12A409">
            <w:pPr>
              <w:jc w:val="center"/>
              <w:rPr>
                <w:rFonts w:cs="Times New Roman"/>
                <w:sz w:val="28"/>
                <w:szCs w:val="28"/>
              </w:rPr>
            </w:pPr>
          </w:p>
        </w:tc>
        <w:tc>
          <w:tcPr>
            <w:tcW w:w="1635" w:type="dxa"/>
            <w:noWrap w:val="0"/>
            <w:vAlign w:val="center"/>
          </w:tcPr>
          <w:p w14:paraId="74C36317">
            <w:pPr>
              <w:jc w:val="center"/>
              <w:rPr>
                <w:rFonts w:hint="default" w:eastAsia="宋体" w:cs="Times New Roman"/>
                <w:sz w:val="28"/>
                <w:szCs w:val="28"/>
                <w:lang w:val="en-US" w:eastAsia="zh-CN"/>
              </w:rPr>
            </w:pPr>
          </w:p>
        </w:tc>
        <w:tc>
          <w:tcPr>
            <w:tcW w:w="4080" w:type="dxa"/>
            <w:noWrap w:val="0"/>
            <w:vAlign w:val="center"/>
          </w:tcPr>
          <w:p w14:paraId="49E22CFE">
            <w:pPr>
              <w:jc w:val="both"/>
              <w:rPr>
                <w:rFonts w:hint="eastAsia" w:cs="Times New Roman"/>
                <w:sz w:val="28"/>
                <w:szCs w:val="28"/>
                <w:lang w:val="en-US" w:eastAsia="zh-CN"/>
              </w:rPr>
            </w:pPr>
            <w:r>
              <w:rPr>
                <w:rFonts w:hint="eastAsia" w:cs="Times New Roman"/>
                <w:sz w:val="28"/>
                <w:szCs w:val="28"/>
                <w:lang w:val="en-US" w:eastAsia="zh-CN"/>
              </w:rPr>
              <w:t>大写：</w:t>
            </w:r>
          </w:p>
          <w:p w14:paraId="7C498437">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6F483263">
            <w:pPr>
              <w:jc w:val="center"/>
              <w:rPr>
                <w:rFonts w:cs="Times New Roman"/>
                <w:sz w:val="28"/>
                <w:szCs w:val="28"/>
              </w:rPr>
            </w:pPr>
          </w:p>
        </w:tc>
        <w:tc>
          <w:tcPr>
            <w:tcW w:w="2019" w:type="dxa"/>
            <w:noWrap w:val="0"/>
            <w:vAlign w:val="center"/>
          </w:tcPr>
          <w:p w14:paraId="344B3DB9">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797B2A81">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CD675BE">
      <w:pPr>
        <w:rPr>
          <w:rFonts w:hint="default"/>
          <w:sz w:val="24"/>
          <w:szCs w:val="24"/>
          <w:lang w:val="en-US" w:eastAsia="zh-CN"/>
        </w:rPr>
      </w:pPr>
    </w:p>
    <w:p w14:paraId="4D0A88EF">
      <w:pPr>
        <w:pStyle w:val="2"/>
        <w:rPr>
          <w:rFonts w:hint="default"/>
          <w:sz w:val="24"/>
          <w:szCs w:val="24"/>
          <w:lang w:val="en-US" w:eastAsia="zh-CN"/>
        </w:rPr>
      </w:pPr>
    </w:p>
    <w:p w14:paraId="28003D67">
      <w:pPr>
        <w:rPr>
          <w:rFonts w:hint="default"/>
          <w:sz w:val="24"/>
          <w:szCs w:val="24"/>
          <w:lang w:val="en-US" w:eastAsia="zh-CN"/>
        </w:rPr>
      </w:pPr>
    </w:p>
    <w:p w14:paraId="707B6D93">
      <w:pPr>
        <w:pStyle w:val="2"/>
        <w:rPr>
          <w:rFonts w:hint="default"/>
          <w:sz w:val="24"/>
          <w:szCs w:val="24"/>
          <w:lang w:val="en-US" w:eastAsia="zh-CN"/>
        </w:rPr>
      </w:pPr>
    </w:p>
    <w:p w14:paraId="0D8A2F17">
      <w:pPr>
        <w:rPr>
          <w:rFonts w:hint="default"/>
          <w:sz w:val="24"/>
          <w:szCs w:val="24"/>
          <w:lang w:val="en-US" w:eastAsia="zh-CN"/>
        </w:rPr>
      </w:pPr>
    </w:p>
    <w:p w14:paraId="57EE9C84">
      <w:pPr>
        <w:pStyle w:val="2"/>
        <w:rPr>
          <w:rFonts w:hint="default"/>
          <w:sz w:val="24"/>
          <w:szCs w:val="24"/>
          <w:lang w:val="en-US" w:eastAsia="zh-CN"/>
        </w:rPr>
      </w:pPr>
    </w:p>
    <w:p w14:paraId="347F821A">
      <w:pPr>
        <w:rPr>
          <w:rFonts w:hint="default"/>
          <w:sz w:val="24"/>
          <w:szCs w:val="24"/>
          <w:lang w:val="en-US" w:eastAsia="zh-CN"/>
        </w:rPr>
      </w:pPr>
    </w:p>
    <w:p w14:paraId="442583B8">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0223C819">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Style w:val="10"/>
          <w:rFonts w:hint="eastAsia" w:ascii="宋体" w:hAnsi="宋体" w:eastAsia="宋体" w:cs="宋体"/>
          <w:i w:val="0"/>
          <w:iCs w:val="0"/>
          <w:caps w:val="0"/>
          <w:color w:val="000000"/>
          <w:spacing w:val="0"/>
          <w:sz w:val="28"/>
          <w:szCs w:val="28"/>
          <w:shd w:val="clear" w:fill="FFFFFF"/>
        </w:rPr>
        <w:t>宁夏交通科学研究所有限公司2024年日常养护灵武北收费站处治项目</w:t>
      </w:r>
      <w:bookmarkStart w:id="0" w:name="_GoBack"/>
      <w:bookmarkEnd w:id="0"/>
    </w:p>
    <w:p w14:paraId="7510D90D">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0F3C5E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0843BE73">
            <w:pPr>
              <w:jc w:val="center"/>
              <w:rPr>
                <w:rFonts w:cs="Times New Roman"/>
                <w:sz w:val="28"/>
                <w:szCs w:val="28"/>
              </w:rPr>
            </w:pPr>
            <w:r>
              <w:rPr>
                <w:rFonts w:hint="eastAsia" w:cs="Times New Roman"/>
                <w:sz w:val="28"/>
                <w:szCs w:val="28"/>
              </w:rPr>
              <w:t>序号</w:t>
            </w:r>
          </w:p>
        </w:tc>
        <w:tc>
          <w:tcPr>
            <w:tcW w:w="1163" w:type="pct"/>
            <w:noWrap w:val="0"/>
            <w:vAlign w:val="center"/>
          </w:tcPr>
          <w:p w14:paraId="37065157">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441503C">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5C5E865A">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0593435F">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42A4BD18">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F3939E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628D5393">
            <w:pPr>
              <w:jc w:val="center"/>
              <w:rPr>
                <w:rFonts w:cs="Times New Roman"/>
                <w:sz w:val="28"/>
                <w:szCs w:val="28"/>
              </w:rPr>
            </w:pPr>
            <w:r>
              <w:rPr>
                <w:rFonts w:hint="eastAsia" w:cs="Times New Roman"/>
                <w:sz w:val="28"/>
                <w:szCs w:val="28"/>
              </w:rPr>
              <w:t>1</w:t>
            </w:r>
          </w:p>
        </w:tc>
        <w:tc>
          <w:tcPr>
            <w:tcW w:w="1163" w:type="pct"/>
            <w:noWrap w:val="0"/>
            <w:vAlign w:val="center"/>
          </w:tcPr>
          <w:p w14:paraId="1DA1E98B">
            <w:pPr>
              <w:jc w:val="center"/>
              <w:rPr>
                <w:rFonts w:cs="Times New Roman"/>
                <w:sz w:val="28"/>
                <w:szCs w:val="28"/>
              </w:rPr>
            </w:pPr>
          </w:p>
        </w:tc>
        <w:tc>
          <w:tcPr>
            <w:tcW w:w="588" w:type="pct"/>
            <w:noWrap w:val="0"/>
            <w:vAlign w:val="center"/>
          </w:tcPr>
          <w:p w14:paraId="1942568F">
            <w:pPr>
              <w:jc w:val="center"/>
              <w:rPr>
                <w:rFonts w:hint="default" w:eastAsia="宋体" w:cs="Times New Roman"/>
                <w:sz w:val="28"/>
                <w:szCs w:val="28"/>
                <w:lang w:val="en-US" w:eastAsia="zh-CN"/>
              </w:rPr>
            </w:pPr>
          </w:p>
        </w:tc>
        <w:tc>
          <w:tcPr>
            <w:tcW w:w="1468" w:type="pct"/>
            <w:noWrap w:val="0"/>
            <w:vAlign w:val="center"/>
          </w:tcPr>
          <w:p w14:paraId="7E263667">
            <w:pPr>
              <w:jc w:val="both"/>
              <w:rPr>
                <w:rFonts w:hint="eastAsia" w:cs="Times New Roman"/>
                <w:sz w:val="28"/>
                <w:szCs w:val="28"/>
                <w:lang w:val="en-US" w:eastAsia="zh-CN"/>
              </w:rPr>
            </w:pPr>
            <w:r>
              <w:rPr>
                <w:rFonts w:hint="eastAsia" w:cs="Times New Roman"/>
                <w:sz w:val="28"/>
                <w:szCs w:val="28"/>
                <w:lang w:val="en-US" w:eastAsia="zh-CN"/>
              </w:rPr>
              <w:t>大写：</w:t>
            </w:r>
          </w:p>
          <w:p w14:paraId="160AC47A">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271BF7D4">
            <w:pPr>
              <w:jc w:val="center"/>
              <w:rPr>
                <w:rFonts w:cs="Times New Roman"/>
                <w:sz w:val="28"/>
                <w:szCs w:val="28"/>
              </w:rPr>
            </w:pPr>
          </w:p>
        </w:tc>
        <w:tc>
          <w:tcPr>
            <w:tcW w:w="726" w:type="pct"/>
            <w:noWrap w:val="0"/>
            <w:vAlign w:val="center"/>
          </w:tcPr>
          <w:p w14:paraId="12FF3301">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DD9F465">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20ABBD0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3C6A1F"/>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1FC63A0"/>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3481CEE"/>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977</Words>
  <Characters>1019</Characters>
  <Lines>7</Lines>
  <Paragraphs>1</Paragraphs>
  <TotalTime>0</TotalTime>
  <ScaleCrop>false</ScaleCrop>
  <LinksUpToDate>false</LinksUpToDate>
  <CharactersWithSpaces>1156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2024-07-31T08:47:53Z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