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B4B097A">
      <w:pPr>
        <w:spacing w:before="312" w:beforeLines="100" w:after="312" w:afterLines="100"/>
        <w:jc w:val="center"/>
        <w:rPr>
          <w:rFonts w:hint="eastAsia" w:ascii="黑体" w:hAnsi="黑体" w:eastAsia="黑体"/>
          <w:sz w:val="44"/>
          <w:szCs w:val="44"/>
          <w:lang w:val="en-US" w:eastAsia="zh-CN"/>
        </w:rPr>
      </w:pPr>
      <w:r>
        <w:rPr>
          <w:rFonts w:hint="eastAsia" w:ascii="黑体" w:hAnsi="黑体" w:eastAsia="黑体"/>
          <w:sz w:val="44"/>
          <w:szCs w:val="44"/>
          <w:lang w:val="en-US" w:eastAsia="zh-CN"/>
        </w:rPr>
        <w:t>竞价邀请函</w:t>
      </w:r>
    </w:p>
    <w:p w14:paraId="4A51539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hAnsi="宋体"/>
          <w:b w:val="0"/>
          <w:bCs/>
          <w:sz w:val="32"/>
          <w:szCs w:val="32"/>
          <w:u w:val="none"/>
          <w:lang w:val="en-US" w:eastAsia="zh-CN"/>
        </w:rPr>
      </w:pPr>
      <w:r>
        <w:rPr>
          <w:rFonts w:hint="eastAsia" w:hAnsi="宋体"/>
          <w:b w:val="0"/>
          <w:bCs/>
          <w:sz w:val="32"/>
          <w:szCs w:val="32"/>
          <w:u w:val="single"/>
          <w:lang w:val="en-US" w:eastAsia="zh-CN"/>
        </w:rPr>
        <w:t>劳务供应商备选库</w:t>
      </w:r>
      <w:r>
        <w:rPr>
          <w:rFonts w:hint="eastAsia" w:hAnsi="宋体"/>
          <w:b w:val="0"/>
          <w:bCs/>
          <w:sz w:val="32"/>
          <w:szCs w:val="32"/>
          <w:u w:val="none"/>
          <w:lang w:val="en-US" w:eastAsia="zh-CN"/>
        </w:rPr>
        <w:t>：</w:t>
      </w:r>
    </w:p>
    <w:p w14:paraId="2248AA17">
      <w:pPr>
        <w:keepNext w:val="0"/>
        <w:keepLines w:val="0"/>
        <w:widowControl/>
        <w:suppressLineNumbers w:val="0"/>
        <w:ind w:firstLine="640" w:firstLineChars="200"/>
        <w:jc w:val="left"/>
        <w:rPr>
          <w:rFonts w:hint="eastAsia" w:hAnsi="宋体"/>
          <w:b w:val="0"/>
          <w:bCs/>
          <w:sz w:val="32"/>
          <w:szCs w:val="32"/>
          <w:lang w:val="en-US" w:eastAsia="zh-CN"/>
        </w:rPr>
      </w:pPr>
      <w:r>
        <w:rPr>
          <w:rFonts w:hint="eastAsia" w:hAnsi="宋体"/>
          <w:b w:val="0"/>
          <w:bCs/>
          <w:sz w:val="32"/>
          <w:szCs w:val="32"/>
          <w:lang w:val="en-US" w:eastAsia="zh-CN"/>
        </w:rPr>
        <w:t>经我公司研究，为确保做好高速公路交通安全设施养护维修工作，我公司邀请贵单位于</w:t>
      </w:r>
      <w:r>
        <w:rPr>
          <w:rFonts w:hint="eastAsia" w:hAnsi="宋体"/>
          <w:b w:val="0"/>
          <w:bCs/>
          <w:color w:val="FF0000"/>
          <w:sz w:val="32"/>
          <w:szCs w:val="32"/>
          <w:u w:val="single"/>
          <w:lang w:val="en-US" w:eastAsia="zh-CN"/>
        </w:rPr>
        <w:t>2025年6月25日9点00分</w:t>
      </w:r>
      <w:r>
        <w:rPr>
          <w:rFonts w:hint="eastAsia" w:hAnsi="宋体"/>
          <w:b w:val="0"/>
          <w:bCs/>
          <w:sz w:val="32"/>
          <w:szCs w:val="32"/>
          <w:lang w:val="en-US" w:eastAsia="zh-CN"/>
        </w:rPr>
        <w:t>参加宁夏交通科学研究所有限公司2025年日常养护灵武作业站第二季度涵洞清淤劳务施工项目竞价活动。</w:t>
      </w:r>
    </w:p>
    <w:p w14:paraId="06404C66">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sz w:val="32"/>
          <w:szCs w:val="32"/>
          <w:lang w:val="en-US" w:eastAsia="zh-CN"/>
        </w:rPr>
      </w:pPr>
      <w:r>
        <w:rPr>
          <w:rFonts w:hint="eastAsia" w:hAnsi="宋体"/>
          <w:b w:val="0"/>
          <w:bCs/>
          <w:sz w:val="32"/>
          <w:szCs w:val="32"/>
          <w:lang w:val="en-US" w:eastAsia="zh-CN"/>
        </w:rPr>
        <w:t>一、标段划分</w:t>
      </w:r>
    </w:p>
    <w:p w14:paraId="1B8B2DC1">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sz w:val="32"/>
          <w:szCs w:val="32"/>
          <w:lang w:val="en-US" w:eastAsia="zh-CN"/>
        </w:rPr>
      </w:pPr>
      <w:r>
        <w:rPr>
          <w:rFonts w:hint="eastAsia" w:hAnsi="宋体"/>
          <w:b w:val="0"/>
          <w:bCs/>
          <w:sz w:val="32"/>
          <w:szCs w:val="32"/>
          <w:lang w:val="en-US" w:eastAsia="zh-CN"/>
        </w:rPr>
        <w:t>本项目划分为1个标段：宁夏交通科学研究所有限公司2025年日常养护灵武作业站第二季度涵洞清淤劳务施工项目。</w:t>
      </w:r>
    </w:p>
    <w:p w14:paraId="7F1E5151">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sz w:val="32"/>
          <w:szCs w:val="32"/>
          <w:lang w:val="en-US" w:eastAsia="zh-CN"/>
        </w:rPr>
      </w:pPr>
      <w:r>
        <w:rPr>
          <w:rFonts w:hint="eastAsia" w:hAnsi="宋体"/>
          <w:b w:val="0"/>
          <w:bCs/>
          <w:sz w:val="32"/>
          <w:szCs w:val="32"/>
          <w:lang w:val="en-US" w:eastAsia="zh-CN"/>
        </w:rPr>
        <w:t>二、竞价地点</w:t>
      </w:r>
    </w:p>
    <w:p w14:paraId="6DE34061">
      <w:pPr>
        <w:keepNext w:val="0"/>
        <w:keepLines w:val="0"/>
        <w:pageBreakBefore w:val="0"/>
        <w:widowControl w:val="0"/>
        <w:kinsoku/>
        <w:wordWrap/>
        <w:overflowPunct/>
        <w:topLinePunct w:val="0"/>
        <w:autoSpaceDE/>
        <w:autoSpaceDN/>
        <w:bidi w:val="0"/>
        <w:adjustRightInd/>
        <w:snapToGrid/>
        <w:spacing w:line="360" w:lineRule="auto"/>
        <w:ind w:firstLine="643" w:firstLineChars="200"/>
        <w:textAlignment w:val="auto"/>
        <w:rPr>
          <w:rFonts w:hint="eastAsia" w:hAnsi="宋体"/>
          <w:b w:val="0"/>
          <w:bCs/>
          <w:sz w:val="32"/>
          <w:szCs w:val="32"/>
          <w:lang w:val="en-US" w:eastAsia="zh-CN"/>
        </w:rPr>
      </w:pPr>
      <w:r>
        <w:rPr>
          <w:rFonts w:hint="eastAsia" w:hAnsi="宋体"/>
          <w:b/>
          <w:bCs w:val="0"/>
          <w:sz w:val="32"/>
          <w:szCs w:val="32"/>
          <w:lang w:val="en-US" w:eastAsia="zh-CN"/>
        </w:rPr>
        <w:t>宁夏银川市兴庆区太阳都市花园东侧营业房C-2三楼会议室</w:t>
      </w:r>
      <w:r>
        <w:rPr>
          <w:rFonts w:hint="eastAsia" w:hAnsi="宋体"/>
          <w:b w:val="0"/>
          <w:bCs/>
          <w:sz w:val="32"/>
          <w:szCs w:val="32"/>
          <w:lang w:val="en-US" w:eastAsia="zh-CN"/>
        </w:rPr>
        <w:t>。</w:t>
      </w:r>
    </w:p>
    <w:p w14:paraId="492E2A98">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sz w:val="32"/>
          <w:szCs w:val="32"/>
          <w:lang w:val="en-US" w:eastAsia="zh-CN"/>
        </w:rPr>
      </w:pPr>
      <w:r>
        <w:rPr>
          <w:rFonts w:hint="eastAsia" w:hAnsi="宋体"/>
          <w:b w:val="0"/>
          <w:bCs/>
          <w:sz w:val="32"/>
          <w:szCs w:val="32"/>
          <w:lang w:val="en-US" w:eastAsia="zh-CN"/>
        </w:rPr>
        <w:t>三、报价</w:t>
      </w:r>
    </w:p>
    <w:p w14:paraId="48943479">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hAnsi="宋体"/>
          <w:b w:val="0"/>
          <w:bCs/>
          <w:sz w:val="32"/>
          <w:szCs w:val="32"/>
          <w:lang w:val="en-US" w:eastAsia="zh-CN"/>
        </w:rPr>
      </w:pPr>
      <w:r>
        <w:rPr>
          <w:rFonts w:hint="eastAsia" w:hAnsi="宋体"/>
          <w:b w:val="0"/>
          <w:bCs/>
          <w:sz w:val="32"/>
          <w:szCs w:val="32"/>
          <w:lang w:val="en-US" w:eastAsia="zh-CN"/>
        </w:rPr>
        <w:t>（一）工程数量为暂估数量，第一轮报价时须填写《竞争性谈判记录表(第一轮)》（报价时必须提供，否则不予接受报价），第二轮及之后的报价只填写《竞争性谈判记录表(第**轮)》，总价降幅等同于单价降幅（以单价限价为基准），</w:t>
      </w:r>
      <w:r>
        <w:rPr>
          <w:rFonts w:hint="eastAsia" w:hAnsi="宋体"/>
          <w:b w:val="0"/>
          <w:bCs/>
          <w:color w:val="FF0000"/>
          <w:sz w:val="32"/>
          <w:szCs w:val="32"/>
          <w:lang w:val="en-US" w:eastAsia="zh-CN"/>
        </w:rPr>
        <w:t>所有报价均不含税</w:t>
      </w:r>
      <w:r>
        <w:rPr>
          <w:rFonts w:hint="eastAsia" w:hAnsi="宋体"/>
          <w:b w:val="0"/>
          <w:bCs/>
          <w:sz w:val="32"/>
          <w:szCs w:val="32"/>
          <w:lang w:val="en-US" w:eastAsia="zh-CN"/>
        </w:rPr>
        <w:t>。</w:t>
      </w:r>
    </w:p>
    <w:p w14:paraId="23963BDA">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hAnsi="宋体"/>
          <w:b w:val="0"/>
          <w:bCs/>
          <w:sz w:val="32"/>
          <w:szCs w:val="32"/>
          <w:lang w:val="en-US" w:eastAsia="zh-CN"/>
        </w:rPr>
      </w:pPr>
      <w:r>
        <w:rPr>
          <w:rFonts w:hint="eastAsia" w:hAnsi="宋体"/>
          <w:b w:val="0"/>
          <w:bCs/>
          <w:sz w:val="32"/>
          <w:szCs w:val="32"/>
          <w:lang w:val="en-US" w:eastAsia="zh-CN"/>
        </w:rPr>
        <w:t>（二）供应商填报的</w:t>
      </w:r>
      <w:r>
        <w:rPr>
          <w:rFonts w:hint="eastAsia" w:hAnsi="宋体"/>
          <w:b w:val="0"/>
          <w:bCs/>
          <w:color w:val="FF0000"/>
          <w:sz w:val="32"/>
          <w:szCs w:val="32"/>
          <w:lang w:val="en-US" w:eastAsia="zh-CN"/>
        </w:rPr>
        <w:t>单价</w:t>
      </w:r>
      <w:r>
        <w:rPr>
          <w:rFonts w:hint="eastAsia" w:hAnsi="宋体"/>
          <w:b w:val="0"/>
          <w:bCs/>
          <w:sz w:val="32"/>
          <w:szCs w:val="32"/>
          <w:lang w:val="en-US" w:eastAsia="zh-CN"/>
        </w:rPr>
        <w:t>不能超过清单规定的</w:t>
      </w:r>
      <w:r>
        <w:rPr>
          <w:rFonts w:hint="eastAsia" w:hAnsi="宋体"/>
          <w:b w:val="0"/>
          <w:bCs/>
          <w:color w:val="FF0000"/>
          <w:sz w:val="32"/>
          <w:szCs w:val="32"/>
          <w:lang w:val="en-US" w:eastAsia="zh-CN"/>
        </w:rPr>
        <w:t>单价，</w:t>
      </w:r>
      <w:r>
        <w:rPr>
          <w:rFonts w:hint="eastAsia" w:hAnsi="宋体"/>
          <w:b w:val="0"/>
          <w:bCs/>
          <w:sz w:val="32"/>
          <w:szCs w:val="32"/>
          <w:lang w:val="en-US" w:eastAsia="zh-CN"/>
        </w:rPr>
        <w:t>且所报总价不能超出总限价。</w:t>
      </w:r>
    </w:p>
    <w:p w14:paraId="1897E5EB">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lang w:val="en-US" w:eastAsia="zh-CN"/>
        </w:rPr>
      </w:pPr>
      <w:r>
        <w:rPr>
          <w:rFonts w:hint="eastAsia" w:hAnsi="宋体"/>
          <w:b w:val="0"/>
          <w:bCs/>
          <w:sz w:val="32"/>
          <w:szCs w:val="32"/>
          <w:lang w:val="en-US" w:eastAsia="zh-CN"/>
        </w:rPr>
        <w:t>（三）本次总限价为：582566.4元。</w:t>
      </w:r>
    </w:p>
    <w:p w14:paraId="4594B999">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hAnsi="宋体"/>
          <w:b w:val="0"/>
          <w:bCs/>
          <w:color w:val="auto"/>
          <w:sz w:val="32"/>
          <w:szCs w:val="32"/>
          <w:lang w:val="en-US" w:eastAsia="zh-CN"/>
        </w:rPr>
      </w:pPr>
      <w:r>
        <w:rPr>
          <w:rFonts w:hint="eastAsia" w:hAnsi="宋体"/>
          <w:b w:val="0"/>
          <w:bCs/>
          <w:sz w:val="32"/>
          <w:szCs w:val="32"/>
          <w:lang w:val="en-US" w:eastAsia="zh-CN"/>
        </w:rPr>
        <w:t>四、请所有供应商法定代表人或授权委托人准时参会</w:t>
      </w:r>
      <w:r>
        <w:rPr>
          <w:rFonts w:hint="eastAsia" w:hAnsi="宋体"/>
          <w:b w:val="0"/>
          <w:bCs/>
          <w:color w:val="auto"/>
          <w:sz w:val="32"/>
          <w:szCs w:val="32"/>
          <w:lang w:val="en-US" w:eastAsia="zh-CN"/>
        </w:rPr>
        <w:t>，未参会或未回复的供应商视为自愿放弃本次报价资格，将按照公司相关办法进行处罚；参加本次竞价的供应商必须携带劳务资质及安全生产许可证复印件；授权委托人带授权委托书。</w:t>
      </w:r>
    </w:p>
    <w:p w14:paraId="1F2E5557">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color w:val="auto"/>
          <w:sz w:val="32"/>
          <w:szCs w:val="32"/>
          <w:lang w:val="en-US" w:eastAsia="zh-CN"/>
        </w:rPr>
      </w:pPr>
      <w:r>
        <w:rPr>
          <w:rFonts w:hint="eastAsia" w:hAnsi="宋体"/>
          <w:b w:val="0"/>
          <w:bCs/>
          <w:color w:val="auto"/>
          <w:sz w:val="32"/>
          <w:szCs w:val="32"/>
          <w:lang w:val="en-US" w:eastAsia="zh-CN"/>
        </w:rPr>
        <w:t>五、供应商进场前必须完成72学时安全教育培训、完成所有劳务及进场人员录入工商保险系统、完成购买100万人生意外保险。</w:t>
      </w:r>
    </w:p>
    <w:p w14:paraId="7D6F5599">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color w:val="auto"/>
          <w:sz w:val="32"/>
          <w:szCs w:val="32"/>
          <w:lang w:val="en-US" w:eastAsia="zh-CN"/>
        </w:rPr>
      </w:pPr>
      <w:r>
        <w:rPr>
          <w:rFonts w:hint="eastAsia" w:hAnsi="宋体"/>
          <w:b w:val="0"/>
          <w:bCs/>
          <w:color w:val="auto"/>
          <w:sz w:val="32"/>
          <w:szCs w:val="32"/>
          <w:lang w:val="en-US" w:eastAsia="zh-CN"/>
        </w:rPr>
        <w:t>六、如被确定供应商后未在10天内完成“第五条内容”，将视为放弃本次中标机会。</w:t>
      </w:r>
    </w:p>
    <w:p w14:paraId="187EDE43">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hAnsi="宋体"/>
          <w:b w:val="0"/>
          <w:bCs/>
          <w:color w:val="auto"/>
          <w:sz w:val="32"/>
          <w:szCs w:val="32"/>
          <w:lang w:val="en-US" w:eastAsia="zh-CN"/>
        </w:rPr>
      </w:pPr>
      <w:r>
        <w:rPr>
          <w:rFonts w:hint="eastAsia" w:hAnsi="宋体"/>
          <w:b w:val="0"/>
          <w:bCs/>
          <w:color w:val="auto"/>
          <w:sz w:val="32"/>
          <w:szCs w:val="32"/>
          <w:lang w:val="en-US" w:eastAsia="zh-CN"/>
        </w:rPr>
        <w:t xml:space="preserve">七、清单所列的全部费用认为已被计入有标价的工程量清单所列各子目之中，未列子目但本次招标设计文件中已有明确作法而不予计量的工作，其费用应视为已分摊在本合同工程的有关子目的单价或总额价之中，除图纸有特殊变更外。                        </w:t>
      </w:r>
    </w:p>
    <w:p w14:paraId="14440EB3">
      <w:pPr>
        <w:keepNext w:val="0"/>
        <w:keepLines w:val="0"/>
        <w:pageBreakBefore w:val="0"/>
        <w:widowControl w:val="0"/>
        <w:kinsoku/>
        <w:wordWrap/>
        <w:overflowPunct/>
        <w:topLinePunct w:val="0"/>
        <w:autoSpaceDE/>
        <w:autoSpaceDN/>
        <w:bidi w:val="0"/>
        <w:adjustRightInd/>
        <w:snapToGrid/>
        <w:spacing w:line="360" w:lineRule="auto"/>
        <w:ind w:firstLine="5120" w:firstLineChars="1600"/>
        <w:textAlignment w:val="auto"/>
        <w:rPr>
          <w:rFonts w:hint="eastAsia" w:hAnsi="宋体"/>
          <w:b w:val="0"/>
          <w:bCs/>
          <w:color w:val="auto"/>
          <w:sz w:val="32"/>
          <w:szCs w:val="32"/>
          <w:lang w:val="en-US" w:eastAsia="zh-CN"/>
        </w:rPr>
      </w:pPr>
    </w:p>
    <w:p w14:paraId="7D8F6340">
      <w:pPr>
        <w:keepNext w:val="0"/>
        <w:keepLines w:val="0"/>
        <w:pageBreakBefore w:val="0"/>
        <w:widowControl w:val="0"/>
        <w:kinsoku/>
        <w:wordWrap/>
        <w:overflowPunct/>
        <w:topLinePunct w:val="0"/>
        <w:autoSpaceDE/>
        <w:autoSpaceDN/>
        <w:bidi w:val="0"/>
        <w:adjustRightInd/>
        <w:snapToGrid/>
        <w:spacing w:line="360" w:lineRule="auto"/>
        <w:ind w:firstLine="5120" w:firstLineChars="1600"/>
        <w:textAlignment w:val="auto"/>
        <w:rPr>
          <w:rFonts w:hint="eastAsia" w:hAnsi="宋体"/>
          <w:b w:val="0"/>
          <w:bCs/>
          <w:color w:val="auto"/>
          <w:sz w:val="32"/>
          <w:szCs w:val="32"/>
          <w:lang w:val="en-US" w:eastAsia="zh-CN"/>
        </w:rPr>
      </w:pPr>
    </w:p>
    <w:p w14:paraId="1FF8D2E2">
      <w:pPr>
        <w:keepNext w:val="0"/>
        <w:keepLines w:val="0"/>
        <w:pageBreakBefore w:val="0"/>
        <w:widowControl w:val="0"/>
        <w:kinsoku/>
        <w:wordWrap/>
        <w:overflowPunct/>
        <w:topLinePunct w:val="0"/>
        <w:autoSpaceDE/>
        <w:autoSpaceDN/>
        <w:bidi w:val="0"/>
        <w:adjustRightInd/>
        <w:snapToGrid/>
        <w:spacing w:line="360" w:lineRule="auto"/>
        <w:ind w:firstLine="5120" w:firstLineChars="1600"/>
        <w:textAlignment w:val="auto"/>
        <w:rPr>
          <w:rFonts w:hint="default" w:hAnsi="宋体"/>
          <w:b w:val="0"/>
          <w:bCs/>
          <w:color w:val="auto"/>
          <w:sz w:val="32"/>
          <w:szCs w:val="32"/>
          <w:lang w:val="en-US" w:eastAsia="zh-CN"/>
        </w:rPr>
      </w:pPr>
      <w:r>
        <w:rPr>
          <w:rFonts w:hint="eastAsia" w:hAnsi="宋体"/>
          <w:b w:val="0"/>
          <w:bCs/>
          <w:color w:val="auto"/>
          <w:sz w:val="32"/>
          <w:szCs w:val="32"/>
          <w:lang w:val="en-US" w:eastAsia="zh-CN"/>
        </w:rPr>
        <w:t xml:space="preserve">宁夏交通科学研究所有限公司     </w:t>
      </w:r>
    </w:p>
    <w:p w14:paraId="37B34BCB">
      <w:pPr>
        <w:jc w:val="center"/>
        <w:rPr>
          <w:rFonts w:hAnsi="宋体"/>
          <w:b/>
          <w:sz w:val="24"/>
          <w:szCs w:val="24"/>
        </w:rPr>
        <w:sectPr>
          <w:pgSz w:w="11906" w:h="16838"/>
          <w:pgMar w:top="1134" w:right="1134" w:bottom="1134" w:left="1134" w:header="851" w:footer="992" w:gutter="0"/>
          <w:pgBorders>
            <w:top w:val="none" w:sz="0" w:space="0"/>
            <w:left w:val="none" w:sz="0" w:space="0"/>
            <w:bottom w:val="none" w:sz="0" w:space="0"/>
            <w:right w:val="none" w:sz="0" w:space="0"/>
          </w:pgBorders>
          <w:cols w:space="720" w:num="1"/>
          <w:docGrid w:type="lines" w:linePitch="312" w:charSpace="0"/>
        </w:sectPr>
      </w:pPr>
      <w:r>
        <w:rPr>
          <w:rFonts w:hint="eastAsia" w:hAnsi="宋体"/>
          <w:b w:val="0"/>
          <w:bCs/>
          <w:color w:val="auto"/>
          <w:sz w:val="32"/>
          <w:szCs w:val="32"/>
          <w:lang w:val="en-US" w:eastAsia="zh-CN"/>
        </w:rPr>
        <w:t xml:space="preserve">                                    2025年6月23日</w:t>
      </w:r>
    </w:p>
    <w:p w14:paraId="6FED16EF">
      <w:pPr>
        <w:spacing w:line="0" w:lineRule="atLeast"/>
        <w:jc w:val="center"/>
        <w:rPr>
          <w:rFonts w:ascii="黑体" w:hAnsi="黑体" w:eastAsia="黑体" w:cs="Times New Roman"/>
          <w:b/>
          <w:bCs/>
          <w:spacing w:val="20"/>
          <w:sz w:val="52"/>
          <w:szCs w:val="52"/>
        </w:rPr>
      </w:pPr>
      <w:r>
        <w:rPr>
          <w:rFonts w:hint="eastAsia" w:ascii="黑体" w:hAnsi="黑体" w:eastAsia="黑体" w:cs="黑体"/>
          <w:b/>
          <w:bCs/>
          <w:spacing w:val="20"/>
          <w:sz w:val="52"/>
          <w:szCs w:val="52"/>
        </w:rPr>
        <w:t>竞争性</w:t>
      </w:r>
      <w:r>
        <w:rPr>
          <w:rFonts w:hint="eastAsia" w:ascii="黑体" w:hAnsi="黑体" w:eastAsia="黑体" w:cs="黑体"/>
          <w:b/>
          <w:bCs/>
          <w:spacing w:val="20"/>
          <w:sz w:val="52"/>
          <w:szCs w:val="52"/>
          <w:lang w:val="en-US" w:eastAsia="zh-CN"/>
        </w:rPr>
        <w:t>谈判</w:t>
      </w:r>
      <w:r>
        <w:rPr>
          <w:rFonts w:hint="eastAsia" w:ascii="黑体" w:hAnsi="黑体" w:eastAsia="黑体" w:cs="黑体"/>
          <w:b/>
          <w:bCs/>
          <w:spacing w:val="20"/>
          <w:sz w:val="52"/>
          <w:szCs w:val="52"/>
        </w:rPr>
        <w:t>记录表(第</w:t>
      </w:r>
      <w:r>
        <w:rPr>
          <w:rFonts w:hint="eastAsia" w:ascii="黑体" w:hAnsi="黑体" w:eastAsia="黑体" w:cs="黑体"/>
          <w:b/>
          <w:bCs/>
          <w:spacing w:val="20"/>
          <w:sz w:val="52"/>
          <w:szCs w:val="52"/>
          <w:lang w:val="en-US" w:eastAsia="zh-CN"/>
        </w:rPr>
        <w:t>一</w:t>
      </w:r>
      <w:r>
        <w:rPr>
          <w:rFonts w:hint="eastAsia" w:ascii="黑体" w:hAnsi="黑体" w:eastAsia="黑体" w:cs="黑体"/>
          <w:b/>
          <w:bCs/>
          <w:spacing w:val="20"/>
          <w:sz w:val="52"/>
          <w:szCs w:val="52"/>
        </w:rPr>
        <w:t>轮)</w:t>
      </w:r>
    </w:p>
    <w:p w14:paraId="18F4AE97">
      <w:pPr>
        <w:spacing w:line="500" w:lineRule="exact"/>
        <w:ind w:firstLine="280" w:firstLineChars="100"/>
        <w:jc w:val="left"/>
        <w:rPr>
          <w:rFonts w:hint="eastAsia" w:ascii="Times New Roman" w:hAnsi="宋体" w:cs="宋体"/>
          <w:w w:val="90"/>
          <w:sz w:val="28"/>
          <w:szCs w:val="28"/>
          <w:lang w:val="zh-CN" w:eastAsia="zh-CN"/>
        </w:rPr>
      </w:pPr>
      <w:r>
        <w:rPr>
          <w:rFonts w:hint="eastAsia" w:ascii="Times New Roman" w:hAnsi="宋体" w:cs="宋体"/>
          <w:sz w:val="28"/>
          <w:szCs w:val="28"/>
        </w:rPr>
        <w:t>项目名称：</w:t>
      </w:r>
      <w:r>
        <w:rPr>
          <w:rFonts w:hint="eastAsia" w:ascii="Times New Roman" w:hAnsi="宋体" w:cs="宋体"/>
          <w:sz w:val="28"/>
          <w:szCs w:val="28"/>
          <w:lang w:val="en-US" w:eastAsia="zh-CN"/>
        </w:rPr>
        <w:t>宁夏交通科学研究所有限公司2025年日常养护灵武作业站第二季度涵洞清淤劳务施工项目</w:t>
      </w:r>
    </w:p>
    <w:p w14:paraId="6624F813">
      <w:pPr>
        <w:spacing w:line="500" w:lineRule="exact"/>
        <w:ind w:firstLine="281" w:firstLineChars="100"/>
        <w:jc w:val="left"/>
        <w:rPr>
          <w:rFonts w:ascii="Times New Roman" w:hAnsi="宋体" w:cs="宋体"/>
          <w:b/>
          <w:bCs/>
          <w:sz w:val="28"/>
          <w:szCs w:val="28"/>
        </w:rPr>
      </w:pPr>
      <w:r>
        <w:rPr>
          <w:rFonts w:hint="eastAsia" w:ascii="Times New Roman" w:hAnsi="宋体" w:cs="宋体"/>
          <w:b/>
          <w:bCs/>
          <w:sz w:val="28"/>
          <w:szCs w:val="28"/>
        </w:rPr>
        <w:t>报价时间：202</w:t>
      </w:r>
      <w:r>
        <w:rPr>
          <w:rFonts w:hint="eastAsia" w:ascii="Times New Roman" w:hAnsi="宋体" w:cs="宋体"/>
          <w:b/>
          <w:bCs/>
          <w:sz w:val="28"/>
          <w:szCs w:val="28"/>
          <w:lang w:val="en-US" w:eastAsia="zh-CN"/>
        </w:rPr>
        <w:t>5</w:t>
      </w:r>
      <w:r>
        <w:rPr>
          <w:rFonts w:hint="eastAsia" w:ascii="Times New Roman" w:hAnsi="宋体" w:cs="宋体"/>
          <w:b/>
          <w:bCs/>
          <w:sz w:val="28"/>
          <w:szCs w:val="28"/>
        </w:rPr>
        <w:t>年</w:t>
      </w:r>
      <w:r>
        <w:rPr>
          <w:rFonts w:hint="eastAsia" w:ascii="Times New Roman" w:hAnsi="宋体" w:cs="宋体"/>
          <w:b/>
          <w:bCs/>
          <w:sz w:val="28"/>
          <w:szCs w:val="28"/>
          <w:lang w:val="en-US" w:eastAsia="zh-CN"/>
        </w:rPr>
        <w:t xml:space="preserve">   </w:t>
      </w:r>
      <w:r>
        <w:rPr>
          <w:rFonts w:hint="eastAsia" w:ascii="Times New Roman" w:hAnsi="宋体" w:cs="宋体"/>
          <w:b/>
          <w:bCs/>
          <w:sz w:val="28"/>
          <w:szCs w:val="28"/>
        </w:rPr>
        <w:t>月</w:t>
      </w:r>
      <w:r>
        <w:rPr>
          <w:rFonts w:hint="eastAsia" w:ascii="Times New Roman" w:hAnsi="宋体" w:cs="宋体"/>
          <w:b/>
          <w:bCs/>
          <w:sz w:val="28"/>
          <w:szCs w:val="28"/>
          <w:lang w:val="en-US" w:eastAsia="zh-CN"/>
        </w:rPr>
        <w:t xml:space="preserve">   </w:t>
      </w:r>
      <w:r>
        <w:rPr>
          <w:rFonts w:hint="eastAsia" w:ascii="Times New Roman" w:hAnsi="宋体" w:cs="宋体"/>
          <w:b/>
          <w:bCs/>
          <w:sz w:val="28"/>
          <w:szCs w:val="28"/>
        </w:rPr>
        <w:t>日</w:t>
      </w:r>
    </w:p>
    <w:tbl>
      <w:tblPr>
        <w:tblStyle w:val="8"/>
        <w:tblW w:w="1389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821"/>
        <w:gridCol w:w="3231"/>
        <w:gridCol w:w="1635"/>
        <w:gridCol w:w="4080"/>
        <w:gridCol w:w="2105"/>
        <w:gridCol w:w="2019"/>
      </w:tblGrid>
      <w:tr w14:paraId="1F0FAFB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522" w:hRule="atLeast"/>
          <w:jc w:val="center"/>
        </w:trPr>
        <w:tc>
          <w:tcPr>
            <w:tcW w:w="821" w:type="dxa"/>
            <w:noWrap w:val="0"/>
            <w:vAlign w:val="center"/>
          </w:tcPr>
          <w:p w14:paraId="7070E534">
            <w:pPr>
              <w:jc w:val="center"/>
              <w:rPr>
                <w:rFonts w:cs="Times New Roman"/>
                <w:sz w:val="28"/>
                <w:szCs w:val="28"/>
              </w:rPr>
            </w:pPr>
            <w:r>
              <w:rPr>
                <w:rFonts w:hint="eastAsia" w:cs="Times New Roman"/>
                <w:sz w:val="28"/>
                <w:szCs w:val="28"/>
              </w:rPr>
              <w:t>序号</w:t>
            </w:r>
          </w:p>
        </w:tc>
        <w:tc>
          <w:tcPr>
            <w:tcW w:w="3231" w:type="dxa"/>
            <w:noWrap w:val="0"/>
            <w:vAlign w:val="center"/>
          </w:tcPr>
          <w:p w14:paraId="20E8C474">
            <w:pPr>
              <w:jc w:val="center"/>
              <w:rPr>
                <w:rFonts w:cs="Times New Roman"/>
                <w:sz w:val="28"/>
                <w:szCs w:val="28"/>
              </w:rPr>
            </w:pPr>
            <w:r>
              <w:rPr>
                <w:rFonts w:hint="eastAsia" w:cs="Times New Roman"/>
                <w:sz w:val="28"/>
                <w:szCs w:val="28"/>
              </w:rPr>
              <w:t>报价单位名称</w:t>
            </w:r>
          </w:p>
        </w:tc>
        <w:tc>
          <w:tcPr>
            <w:tcW w:w="1635" w:type="dxa"/>
            <w:noWrap w:val="0"/>
            <w:vAlign w:val="center"/>
          </w:tcPr>
          <w:p w14:paraId="5F5CFDE6">
            <w:pPr>
              <w:jc w:val="center"/>
              <w:rPr>
                <w:rFonts w:hint="eastAsia" w:cs="Times New Roman"/>
                <w:sz w:val="28"/>
                <w:szCs w:val="28"/>
                <w:lang w:val="en-US" w:eastAsia="zh-CN"/>
              </w:rPr>
            </w:pPr>
            <w:r>
              <w:rPr>
                <w:rFonts w:hint="eastAsia" w:cs="Times New Roman"/>
                <w:sz w:val="28"/>
                <w:szCs w:val="28"/>
                <w:lang w:val="en-US" w:eastAsia="zh-CN"/>
              </w:rPr>
              <w:t>标段</w:t>
            </w:r>
          </w:p>
        </w:tc>
        <w:tc>
          <w:tcPr>
            <w:tcW w:w="4080" w:type="dxa"/>
            <w:noWrap w:val="0"/>
            <w:vAlign w:val="center"/>
          </w:tcPr>
          <w:p w14:paraId="1C30CFA0">
            <w:pPr>
              <w:jc w:val="center"/>
              <w:rPr>
                <w:rFonts w:hint="default" w:eastAsia="宋体" w:cs="Times New Roman"/>
                <w:sz w:val="28"/>
                <w:szCs w:val="28"/>
                <w:lang w:val="en-US" w:eastAsia="zh-CN"/>
              </w:rPr>
            </w:pPr>
            <w:r>
              <w:rPr>
                <w:rFonts w:hint="eastAsia" w:cs="Times New Roman"/>
                <w:sz w:val="28"/>
                <w:szCs w:val="28"/>
                <w:lang w:val="en-US" w:eastAsia="zh-CN"/>
              </w:rPr>
              <w:t>总报价（元）</w:t>
            </w:r>
          </w:p>
        </w:tc>
        <w:tc>
          <w:tcPr>
            <w:tcW w:w="2105" w:type="dxa"/>
            <w:noWrap w:val="0"/>
            <w:vAlign w:val="center"/>
          </w:tcPr>
          <w:p w14:paraId="42A99831">
            <w:pPr>
              <w:jc w:val="center"/>
              <w:rPr>
                <w:rFonts w:cs="Times New Roman"/>
                <w:sz w:val="28"/>
                <w:szCs w:val="28"/>
              </w:rPr>
            </w:pPr>
            <w:r>
              <w:rPr>
                <w:rFonts w:hint="eastAsia" w:cs="Times New Roman"/>
                <w:sz w:val="28"/>
                <w:szCs w:val="28"/>
              </w:rPr>
              <w:t>报价单位法定代表人或委托代理人签字</w:t>
            </w:r>
          </w:p>
        </w:tc>
        <w:tc>
          <w:tcPr>
            <w:tcW w:w="2019" w:type="dxa"/>
            <w:noWrap w:val="0"/>
            <w:vAlign w:val="center"/>
          </w:tcPr>
          <w:p w14:paraId="7A948759">
            <w:pPr>
              <w:jc w:val="center"/>
              <w:rPr>
                <w:rFonts w:hint="eastAsia" w:eastAsia="宋体" w:cs="Times New Roman"/>
                <w:sz w:val="28"/>
                <w:szCs w:val="28"/>
                <w:lang w:eastAsia="zh-CN"/>
              </w:rPr>
            </w:pPr>
            <w:r>
              <w:rPr>
                <w:rFonts w:hint="eastAsia" w:cs="Times New Roman"/>
                <w:sz w:val="28"/>
                <w:szCs w:val="28"/>
                <w:lang w:val="en-US" w:eastAsia="zh-CN"/>
              </w:rPr>
              <w:t>备注</w:t>
            </w:r>
          </w:p>
        </w:tc>
      </w:tr>
      <w:tr w14:paraId="06C4D75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61" w:hRule="atLeast"/>
          <w:jc w:val="center"/>
        </w:trPr>
        <w:tc>
          <w:tcPr>
            <w:tcW w:w="821" w:type="dxa"/>
            <w:noWrap w:val="0"/>
            <w:vAlign w:val="center"/>
          </w:tcPr>
          <w:p w14:paraId="5B710F91">
            <w:pPr>
              <w:jc w:val="center"/>
              <w:rPr>
                <w:rFonts w:cs="Times New Roman"/>
                <w:sz w:val="28"/>
                <w:szCs w:val="28"/>
              </w:rPr>
            </w:pPr>
            <w:r>
              <w:rPr>
                <w:rFonts w:hint="eastAsia" w:cs="Times New Roman"/>
                <w:sz w:val="28"/>
                <w:szCs w:val="28"/>
              </w:rPr>
              <w:t>1</w:t>
            </w:r>
          </w:p>
        </w:tc>
        <w:tc>
          <w:tcPr>
            <w:tcW w:w="3231" w:type="dxa"/>
            <w:noWrap w:val="0"/>
            <w:vAlign w:val="center"/>
          </w:tcPr>
          <w:p w14:paraId="2BD64919">
            <w:pPr>
              <w:jc w:val="center"/>
              <w:rPr>
                <w:rFonts w:cs="Times New Roman"/>
                <w:sz w:val="28"/>
                <w:szCs w:val="28"/>
              </w:rPr>
            </w:pPr>
          </w:p>
        </w:tc>
        <w:tc>
          <w:tcPr>
            <w:tcW w:w="1635" w:type="dxa"/>
            <w:noWrap w:val="0"/>
            <w:vAlign w:val="center"/>
          </w:tcPr>
          <w:p w14:paraId="71A79821">
            <w:pPr>
              <w:jc w:val="center"/>
              <w:rPr>
                <w:rFonts w:hint="default" w:eastAsia="宋体" w:cs="Times New Roman"/>
                <w:sz w:val="28"/>
                <w:szCs w:val="28"/>
                <w:lang w:val="en-US" w:eastAsia="zh-CN"/>
              </w:rPr>
            </w:pPr>
          </w:p>
        </w:tc>
        <w:tc>
          <w:tcPr>
            <w:tcW w:w="4080" w:type="dxa"/>
            <w:noWrap w:val="0"/>
            <w:vAlign w:val="center"/>
          </w:tcPr>
          <w:p w14:paraId="1EB725B0">
            <w:pPr>
              <w:jc w:val="both"/>
              <w:rPr>
                <w:rFonts w:hint="eastAsia" w:cs="Times New Roman"/>
                <w:sz w:val="28"/>
                <w:szCs w:val="28"/>
                <w:lang w:val="en-US" w:eastAsia="zh-CN"/>
              </w:rPr>
            </w:pPr>
            <w:r>
              <w:rPr>
                <w:rFonts w:hint="eastAsia" w:cs="Times New Roman"/>
                <w:sz w:val="28"/>
                <w:szCs w:val="28"/>
                <w:lang w:val="en-US" w:eastAsia="zh-CN"/>
              </w:rPr>
              <w:t>大写：</w:t>
            </w:r>
          </w:p>
          <w:p w14:paraId="27CFA4EE">
            <w:pPr>
              <w:pStyle w:val="2"/>
              <w:rPr>
                <w:rFonts w:hint="default"/>
                <w:lang w:val="en-US" w:eastAsia="zh-CN"/>
              </w:rPr>
            </w:pPr>
            <w:r>
              <w:rPr>
                <w:rFonts w:hint="eastAsia" w:cs="Times New Roman"/>
                <w:sz w:val="28"/>
                <w:szCs w:val="28"/>
                <w:lang w:val="en-US" w:eastAsia="zh-CN"/>
              </w:rPr>
              <w:t>小写：</w:t>
            </w:r>
          </w:p>
        </w:tc>
        <w:tc>
          <w:tcPr>
            <w:tcW w:w="2105" w:type="dxa"/>
            <w:noWrap w:val="0"/>
            <w:vAlign w:val="center"/>
          </w:tcPr>
          <w:p w14:paraId="1EC3E288">
            <w:pPr>
              <w:jc w:val="center"/>
              <w:rPr>
                <w:rFonts w:cs="Times New Roman"/>
                <w:sz w:val="28"/>
                <w:szCs w:val="28"/>
              </w:rPr>
            </w:pPr>
          </w:p>
        </w:tc>
        <w:tc>
          <w:tcPr>
            <w:tcW w:w="2019" w:type="dxa"/>
            <w:noWrap w:val="0"/>
            <w:vAlign w:val="center"/>
          </w:tcPr>
          <w:p w14:paraId="41CDFC01">
            <w:pPr>
              <w:jc w:val="center"/>
              <w:rPr>
                <w:rFonts w:hint="default" w:eastAsia="宋体" w:cs="Times New Roman"/>
                <w:sz w:val="28"/>
                <w:szCs w:val="28"/>
                <w:lang w:val="en-US" w:eastAsia="zh-CN"/>
              </w:rPr>
            </w:pPr>
            <w:r>
              <w:rPr>
                <w:rFonts w:hint="eastAsia" w:cs="Times New Roman"/>
                <w:sz w:val="28"/>
                <w:szCs w:val="28"/>
                <w:lang w:val="en-US" w:eastAsia="zh-CN"/>
              </w:rPr>
              <w:t>单价（元）下浮比例同总价下浮比例一致。</w:t>
            </w:r>
          </w:p>
        </w:tc>
      </w:tr>
    </w:tbl>
    <w:p w14:paraId="655B3F01">
      <w:pPr>
        <w:ind w:left="720" w:firstLine="480"/>
        <w:rPr>
          <w:rFonts w:hint="default"/>
          <w:sz w:val="24"/>
          <w:szCs w:val="24"/>
          <w:lang w:val="en-US" w:eastAsia="zh-CN"/>
        </w:rPr>
      </w:pPr>
      <w:r>
        <w:rPr>
          <w:rFonts w:hint="eastAsia" w:cs="Times New Roman"/>
          <w:sz w:val="28"/>
          <w:szCs w:val="28"/>
        </w:rPr>
        <w:t>采购人：宁夏交通科学研究所有限公司                   监督人员</w:t>
      </w:r>
      <w:r>
        <w:rPr>
          <w:rFonts w:hint="eastAsia" w:cs="Times New Roman"/>
          <w:sz w:val="28"/>
          <w:szCs w:val="28"/>
          <w:lang w:eastAsia="zh-CN"/>
        </w:rPr>
        <w:t>：</w:t>
      </w:r>
      <w:r>
        <w:rPr>
          <w:rFonts w:hint="eastAsia" w:cs="Times New Roman"/>
          <w:sz w:val="28"/>
          <w:szCs w:val="28"/>
          <w:lang w:val="en-US" w:eastAsia="zh-CN"/>
        </w:rPr>
        <w:t xml:space="preserve">               工作人员：</w:t>
      </w:r>
    </w:p>
    <w:p w14:paraId="48CC807F">
      <w:pPr>
        <w:rPr>
          <w:rFonts w:hint="default"/>
          <w:sz w:val="24"/>
          <w:szCs w:val="24"/>
          <w:lang w:val="en-US" w:eastAsia="zh-CN"/>
        </w:rPr>
      </w:pPr>
    </w:p>
    <w:p w14:paraId="55AEEA19">
      <w:pPr>
        <w:pStyle w:val="2"/>
        <w:rPr>
          <w:rFonts w:hint="default"/>
          <w:sz w:val="24"/>
          <w:szCs w:val="24"/>
          <w:lang w:val="en-US" w:eastAsia="zh-CN"/>
        </w:rPr>
      </w:pPr>
    </w:p>
    <w:p w14:paraId="134C57AB">
      <w:pPr>
        <w:rPr>
          <w:rFonts w:hint="default"/>
          <w:sz w:val="24"/>
          <w:szCs w:val="24"/>
          <w:lang w:val="en-US" w:eastAsia="zh-CN"/>
        </w:rPr>
      </w:pPr>
    </w:p>
    <w:p w14:paraId="6A182348">
      <w:pPr>
        <w:pStyle w:val="2"/>
        <w:rPr>
          <w:rFonts w:hint="default"/>
          <w:sz w:val="24"/>
          <w:szCs w:val="24"/>
          <w:lang w:val="en-US" w:eastAsia="zh-CN"/>
        </w:rPr>
      </w:pPr>
    </w:p>
    <w:p w14:paraId="01EF5511">
      <w:pPr>
        <w:rPr>
          <w:rFonts w:hint="default"/>
          <w:sz w:val="24"/>
          <w:szCs w:val="24"/>
          <w:lang w:val="en-US" w:eastAsia="zh-CN"/>
        </w:rPr>
      </w:pPr>
    </w:p>
    <w:p w14:paraId="5CE6375D">
      <w:pPr>
        <w:pStyle w:val="2"/>
        <w:rPr>
          <w:rFonts w:hint="default"/>
          <w:sz w:val="24"/>
          <w:szCs w:val="24"/>
          <w:lang w:val="en-US" w:eastAsia="zh-CN"/>
        </w:rPr>
      </w:pPr>
    </w:p>
    <w:p w14:paraId="4FA062E2">
      <w:pPr>
        <w:rPr>
          <w:rFonts w:hint="default"/>
          <w:sz w:val="24"/>
          <w:szCs w:val="24"/>
          <w:lang w:val="en-US" w:eastAsia="zh-CN"/>
        </w:rPr>
      </w:pPr>
    </w:p>
    <w:p w14:paraId="6D1EBBFC">
      <w:pPr>
        <w:spacing w:line="0" w:lineRule="atLeast"/>
        <w:jc w:val="center"/>
        <w:rPr>
          <w:rFonts w:ascii="黑体" w:hAnsi="黑体" w:eastAsia="黑体" w:cs="Times New Roman"/>
          <w:b/>
          <w:bCs/>
          <w:spacing w:val="20"/>
          <w:sz w:val="52"/>
          <w:szCs w:val="52"/>
        </w:rPr>
      </w:pPr>
      <w:r>
        <w:rPr>
          <w:rFonts w:hint="eastAsia" w:ascii="黑体" w:hAnsi="黑体" w:eastAsia="黑体" w:cs="黑体"/>
          <w:b/>
          <w:bCs/>
          <w:spacing w:val="20"/>
          <w:sz w:val="52"/>
          <w:szCs w:val="52"/>
        </w:rPr>
        <w:t>竞争性</w:t>
      </w:r>
      <w:r>
        <w:rPr>
          <w:rFonts w:hint="eastAsia" w:ascii="黑体" w:hAnsi="黑体" w:eastAsia="黑体" w:cs="黑体"/>
          <w:b/>
          <w:bCs/>
          <w:spacing w:val="20"/>
          <w:sz w:val="52"/>
          <w:szCs w:val="52"/>
          <w:lang w:val="en-US" w:eastAsia="zh-CN"/>
        </w:rPr>
        <w:t>谈判</w:t>
      </w:r>
      <w:r>
        <w:rPr>
          <w:rFonts w:hint="eastAsia" w:ascii="黑体" w:hAnsi="黑体" w:eastAsia="黑体" w:cs="黑体"/>
          <w:b/>
          <w:bCs/>
          <w:spacing w:val="20"/>
          <w:sz w:val="52"/>
          <w:szCs w:val="52"/>
        </w:rPr>
        <w:t>记录表(第</w:t>
      </w:r>
      <w:r>
        <w:rPr>
          <w:rFonts w:hint="eastAsia" w:ascii="黑体" w:hAnsi="黑体" w:eastAsia="黑体" w:cs="黑体"/>
          <w:b/>
          <w:bCs/>
          <w:spacing w:val="20"/>
          <w:sz w:val="52"/>
          <w:szCs w:val="52"/>
          <w:lang w:val="en-US" w:eastAsia="zh-CN"/>
        </w:rPr>
        <w:t>二</w:t>
      </w:r>
      <w:r>
        <w:rPr>
          <w:rFonts w:hint="eastAsia" w:ascii="黑体" w:hAnsi="黑体" w:eastAsia="黑体" w:cs="黑体"/>
          <w:b/>
          <w:bCs/>
          <w:spacing w:val="20"/>
          <w:sz w:val="52"/>
          <w:szCs w:val="52"/>
        </w:rPr>
        <w:t>轮)</w:t>
      </w:r>
    </w:p>
    <w:p w14:paraId="26D75C1F">
      <w:pPr>
        <w:spacing w:line="500" w:lineRule="exact"/>
        <w:jc w:val="left"/>
        <w:rPr>
          <w:rFonts w:hint="eastAsia" w:ascii="Times New Roman" w:hAnsi="宋体" w:cs="宋体"/>
          <w:w w:val="90"/>
          <w:sz w:val="28"/>
          <w:szCs w:val="28"/>
          <w:lang w:val="zh-CN" w:eastAsia="zh-CN"/>
        </w:rPr>
      </w:pPr>
      <w:r>
        <w:rPr>
          <w:rFonts w:hint="eastAsia" w:ascii="Times New Roman" w:hAnsi="宋体" w:cs="宋体"/>
          <w:sz w:val="28"/>
          <w:szCs w:val="28"/>
        </w:rPr>
        <w:t>项目名称：</w:t>
      </w:r>
      <w:r>
        <w:rPr>
          <w:rFonts w:hint="eastAsia" w:ascii="Times New Roman" w:hAnsi="宋体" w:cs="宋体"/>
          <w:sz w:val="28"/>
          <w:szCs w:val="28"/>
          <w:lang w:val="en-US" w:eastAsia="zh-CN"/>
        </w:rPr>
        <w:t>宁夏交通科学研究所有限公司2025年日常养护灵武作业站第二季度涵洞清淤劳务施工项目</w:t>
      </w:r>
    </w:p>
    <w:p w14:paraId="65CA251E">
      <w:pPr>
        <w:spacing w:line="500" w:lineRule="exact"/>
        <w:jc w:val="left"/>
        <w:rPr>
          <w:rFonts w:ascii="Times New Roman" w:hAnsi="宋体" w:cs="宋体"/>
          <w:b/>
          <w:bCs/>
          <w:sz w:val="28"/>
          <w:szCs w:val="28"/>
        </w:rPr>
      </w:pPr>
      <w:r>
        <w:rPr>
          <w:rFonts w:hint="eastAsia" w:ascii="Times New Roman" w:hAnsi="宋体" w:cs="宋体"/>
          <w:b/>
          <w:bCs/>
          <w:sz w:val="28"/>
          <w:szCs w:val="28"/>
        </w:rPr>
        <w:t>报价时间：202</w:t>
      </w:r>
      <w:r>
        <w:rPr>
          <w:rFonts w:hint="eastAsia" w:ascii="Times New Roman" w:hAnsi="宋体" w:cs="宋体"/>
          <w:b/>
          <w:bCs/>
          <w:sz w:val="28"/>
          <w:szCs w:val="28"/>
          <w:lang w:val="en-US" w:eastAsia="zh-CN"/>
        </w:rPr>
        <w:t>5</w:t>
      </w:r>
      <w:r>
        <w:rPr>
          <w:rFonts w:hint="eastAsia" w:ascii="Times New Roman" w:hAnsi="宋体" w:cs="宋体"/>
          <w:b/>
          <w:bCs/>
          <w:sz w:val="28"/>
          <w:szCs w:val="28"/>
        </w:rPr>
        <w:t>年</w:t>
      </w:r>
      <w:r>
        <w:rPr>
          <w:rFonts w:hint="eastAsia" w:ascii="Times New Roman" w:hAnsi="宋体" w:cs="宋体"/>
          <w:b/>
          <w:bCs/>
          <w:sz w:val="28"/>
          <w:szCs w:val="28"/>
          <w:lang w:val="en-US" w:eastAsia="zh-CN"/>
        </w:rPr>
        <w:t xml:space="preserve">   </w:t>
      </w:r>
      <w:r>
        <w:rPr>
          <w:rFonts w:hint="eastAsia" w:ascii="Times New Roman" w:hAnsi="宋体" w:cs="宋体"/>
          <w:b/>
          <w:bCs/>
          <w:sz w:val="28"/>
          <w:szCs w:val="28"/>
        </w:rPr>
        <w:t>月</w:t>
      </w:r>
      <w:r>
        <w:rPr>
          <w:rFonts w:hint="eastAsia" w:ascii="Times New Roman" w:hAnsi="宋体" w:cs="宋体"/>
          <w:b/>
          <w:bCs/>
          <w:sz w:val="28"/>
          <w:szCs w:val="28"/>
          <w:lang w:val="en-US" w:eastAsia="zh-CN"/>
        </w:rPr>
        <w:t xml:space="preserve">   </w:t>
      </w:r>
      <w:bookmarkStart w:id="0" w:name="_GoBack"/>
      <w:bookmarkEnd w:id="0"/>
      <w:r>
        <w:rPr>
          <w:rFonts w:hint="eastAsia" w:ascii="Times New Roman" w:hAnsi="宋体" w:cs="宋体"/>
          <w:b/>
          <w:bCs/>
          <w:sz w:val="28"/>
          <w:szCs w:val="28"/>
        </w:rPr>
        <w:t>日</w:t>
      </w:r>
    </w:p>
    <w:tbl>
      <w:tblPr>
        <w:tblStyle w:val="8"/>
        <w:tblW w:w="4998"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873"/>
        <w:gridCol w:w="3440"/>
        <w:gridCol w:w="1739"/>
        <w:gridCol w:w="4342"/>
        <w:gridCol w:w="2239"/>
        <w:gridCol w:w="2147"/>
      </w:tblGrid>
      <w:tr w14:paraId="745CA6C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522" w:hRule="atLeast"/>
          <w:jc w:val="center"/>
        </w:trPr>
        <w:tc>
          <w:tcPr>
            <w:tcW w:w="295" w:type="pct"/>
            <w:noWrap w:val="0"/>
            <w:vAlign w:val="center"/>
          </w:tcPr>
          <w:p w14:paraId="2DC62D1D">
            <w:pPr>
              <w:jc w:val="center"/>
              <w:rPr>
                <w:rFonts w:cs="Times New Roman"/>
                <w:sz w:val="28"/>
                <w:szCs w:val="28"/>
              </w:rPr>
            </w:pPr>
            <w:r>
              <w:rPr>
                <w:rFonts w:hint="eastAsia" w:cs="Times New Roman"/>
                <w:sz w:val="28"/>
                <w:szCs w:val="28"/>
              </w:rPr>
              <w:t>序号</w:t>
            </w:r>
          </w:p>
        </w:tc>
        <w:tc>
          <w:tcPr>
            <w:tcW w:w="1163" w:type="pct"/>
            <w:noWrap w:val="0"/>
            <w:vAlign w:val="center"/>
          </w:tcPr>
          <w:p w14:paraId="75C3DD70">
            <w:pPr>
              <w:jc w:val="center"/>
              <w:rPr>
                <w:rFonts w:cs="Times New Roman"/>
                <w:sz w:val="28"/>
                <w:szCs w:val="28"/>
              </w:rPr>
            </w:pPr>
            <w:r>
              <w:rPr>
                <w:rFonts w:hint="eastAsia" w:cs="Times New Roman"/>
                <w:sz w:val="28"/>
                <w:szCs w:val="28"/>
              </w:rPr>
              <w:t>报价单位名称</w:t>
            </w:r>
          </w:p>
        </w:tc>
        <w:tc>
          <w:tcPr>
            <w:tcW w:w="588" w:type="pct"/>
            <w:noWrap w:val="0"/>
            <w:vAlign w:val="center"/>
          </w:tcPr>
          <w:p w14:paraId="5E5C2F2B">
            <w:pPr>
              <w:jc w:val="center"/>
              <w:rPr>
                <w:rFonts w:hint="eastAsia" w:cs="Times New Roman"/>
                <w:sz w:val="28"/>
                <w:szCs w:val="28"/>
                <w:lang w:val="en-US" w:eastAsia="zh-CN"/>
              </w:rPr>
            </w:pPr>
            <w:r>
              <w:rPr>
                <w:rFonts w:hint="eastAsia" w:cs="Times New Roman"/>
                <w:sz w:val="28"/>
                <w:szCs w:val="28"/>
                <w:lang w:val="en-US" w:eastAsia="zh-CN"/>
              </w:rPr>
              <w:t>标段</w:t>
            </w:r>
          </w:p>
        </w:tc>
        <w:tc>
          <w:tcPr>
            <w:tcW w:w="1468" w:type="pct"/>
            <w:noWrap w:val="0"/>
            <w:vAlign w:val="center"/>
          </w:tcPr>
          <w:p w14:paraId="2D60A746">
            <w:pPr>
              <w:jc w:val="center"/>
              <w:rPr>
                <w:rFonts w:hint="default" w:eastAsia="宋体" w:cs="Times New Roman"/>
                <w:sz w:val="28"/>
                <w:szCs w:val="28"/>
                <w:lang w:val="en-US" w:eastAsia="zh-CN"/>
              </w:rPr>
            </w:pPr>
            <w:r>
              <w:rPr>
                <w:rFonts w:hint="eastAsia" w:cs="Times New Roman"/>
                <w:sz w:val="28"/>
                <w:szCs w:val="28"/>
                <w:lang w:val="en-US" w:eastAsia="zh-CN"/>
              </w:rPr>
              <w:t>总报价（元）</w:t>
            </w:r>
          </w:p>
        </w:tc>
        <w:tc>
          <w:tcPr>
            <w:tcW w:w="757" w:type="pct"/>
            <w:noWrap w:val="0"/>
            <w:vAlign w:val="center"/>
          </w:tcPr>
          <w:p w14:paraId="3188F14F">
            <w:pPr>
              <w:jc w:val="center"/>
              <w:rPr>
                <w:rFonts w:cs="Times New Roman"/>
                <w:sz w:val="28"/>
                <w:szCs w:val="28"/>
              </w:rPr>
            </w:pPr>
            <w:r>
              <w:rPr>
                <w:rFonts w:hint="eastAsia" w:cs="Times New Roman"/>
                <w:sz w:val="28"/>
                <w:szCs w:val="28"/>
              </w:rPr>
              <w:t>报价单位法定代表人或委托代理人签字</w:t>
            </w:r>
          </w:p>
        </w:tc>
        <w:tc>
          <w:tcPr>
            <w:tcW w:w="726" w:type="pct"/>
            <w:noWrap w:val="0"/>
            <w:vAlign w:val="center"/>
          </w:tcPr>
          <w:p w14:paraId="5A274DA3">
            <w:pPr>
              <w:jc w:val="center"/>
              <w:rPr>
                <w:rFonts w:hint="eastAsia" w:eastAsia="宋体" w:cs="Times New Roman"/>
                <w:sz w:val="28"/>
                <w:szCs w:val="28"/>
                <w:lang w:eastAsia="zh-CN"/>
              </w:rPr>
            </w:pPr>
            <w:r>
              <w:rPr>
                <w:rFonts w:hint="eastAsia" w:cs="Times New Roman"/>
                <w:sz w:val="28"/>
                <w:szCs w:val="28"/>
                <w:lang w:val="en-US" w:eastAsia="zh-CN"/>
              </w:rPr>
              <w:t>备注</w:t>
            </w:r>
          </w:p>
        </w:tc>
      </w:tr>
      <w:tr w14:paraId="5E5DE79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01" w:hRule="atLeast"/>
          <w:jc w:val="center"/>
        </w:trPr>
        <w:tc>
          <w:tcPr>
            <w:tcW w:w="295" w:type="pct"/>
            <w:noWrap w:val="0"/>
            <w:vAlign w:val="center"/>
          </w:tcPr>
          <w:p w14:paraId="337934B0">
            <w:pPr>
              <w:jc w:val="center"/>
              <w:rPr>
                <w:rFonts w:cs="Times New Roman"/>
                <w:sz w:val="28"/>
                <w:szCs w:val="28"/>
              </w:rPr>
            </w:pPr>
            <w:r>
              <w:rPr>
                <w:rFonts w:hint="eastAsia" w:cs="Times New Roman"/>
                <w:sz w:val="28"/>
                <w:szCs w:val="28"/>
              </w:rPr>
              <w:t>1</w:t>
            </w:r>
          </w:p>
        </w:tc>
        <w:tc>
          <w:tcPr>
            <w:tcW w:w="1163" w:type="pct"/>
            <w:noWrap w:val="0"/>
            <w:vAlign w:val="center"/>
          </w:tcPr>
          <w:p w14:paraId="299C0376">
            <w:pPr>
              <w:jc w:val="center"/>
              <w:rPr>
                <w:rFonts w:cs="Times New Roman"/>
                <w:sz w:val="28"/>
                <w:szCs w:val="28"/>
              </w:rPr>
            </w:pPr>
          </w:p>
        </w:tc>
        <w:tc>
          <w:tcPr>
            <w:tcW w:w="588" w:type="pct"/>
            <w:noWrap w:val="0"/>
            <w:vAlign w:val="center"/>
          </w:tcPr>
          <w:p w14:paraId="3B967B23">
            <w:pPr>
              <w:jc w:val="center"/>
              <w:rPr>
                <w:rFonts w:hint="default" w:eastAsia="宋体" w:cs="Times New Roman"/>
                <w:sz w:val="28"/>
                <w:szCs w:val="28"/>
                <w:lang w:val="en-US" w:eastAsia="zh-CN"/>
              </w:rPr>
            </w:pPr>
          </w:p>
        </w:tc>
        <w:tc>
          <w:tcPr>
            <w:tcW w:w="1468" w:type="pct"/>
            <w:noWrap w:val="0"/>
            <w:vAlign w:val="center"/>
          </w:tcPr>
          <w:p w14:paraId="646C087D">
            <w:pPr>
              <w:jc w:val="both"/>
              <w:rPr>
                <w:rFonts w:hint="eastAsia" w:cs="Times New Roman"/>
                <w:sz w:val="28"/>
                <w:szCs w:val="28"/>
                <w:lang w:val="en-US" w:eastAsia="zh-CN"/>
              </w:rPr>
            </w:pPr>
            <w:r>
              <w:rPr>
                <w:rFonts w:hint="eastAsia" w:cs="Times New Roman"/>
                <w:sz w:val="28"/>
                <w:szCs w:val="28"/>
                <w:lang w:val="en-US" w:eastAsia="zh-CN"/>
              </w:rPr>
              <w:t>大写：</w:t>
            </w:r>
          </w:p>
          <w:p w14:paraId="74BE3E39">
            <w:pPr>
              <w:jc w:val="both"/>
              <w:rPr>
                <w:rFonts w:cs="Times New Roman"/>
                <w:sz w:val="28"/>
                <w:szCs w:val="28"/>
              </w:rPr>
            </w:pPr>
            <w:r>
              <w:rPr>
                <w:rFonts w:hint="eastAsia" w:cs="Times New Roman"/>
                <w:sz w:val="28"/>
                <w:szCs w:val="28"/>
                <w:lang w:val="en-US" w:eastAsia="zh-CN"/>
              </w:rPr>
              <w:t>小写：</w:t>
            </w:r>
          </w:p>
        </w:tc>
        <w:tc>
          <w:tcPr>
            <w:tcW w:w="757" w:type="pct"/>
            <w:noWrap w:val="0"/>
            <w:vAlign w:val="center"/>
          </w:tcPr>
          <w:p w14:paraId="2E73F66E">
            <w:pPr>
              <w:jc w:val="center"/>
              <w:rPr>
                <w:rFonts w:cs="Times New Roman"/>
                <w:sz w:val="28"/>
                <w:szCs w:val="28"/>
              </w:rPr>
            </w:pPr>
          </w:p>
        </w:tc>
        <w:tc>
          <w:tcPr>
            <w:tcW w:w="726" w:type="pct"/>
            <w:noWrap w:val="0"/>
            <w:vAlign w:val="center"/>
          </w:tcPr>
          <w:p w14:paraId="3A34F78F">
            <w:pPr>
              <w:jc w:val="center"/>
              <w:rPr>
                <w:rFonts w:hint="default" w:eastAsia="宋体" w:cs="Times New Roman"/>
                <w:sz w:val="28"/>
                <w:szCs w:val="28"/>
                <w:lang w:val="en-US" w:eastAsia="zh-CN"/>
              </w:rPr>
            </w:pPr>
            <w:r>
              <w:rPr>
                <w:rFonts w:hint="eastAsia" w:cs="Times New Roman"/>
                <w:sz w:val="28"/>
                <w:szCs w:val="28"/>
                <w:lang w:val="en-US" w:eastAsia="zh-CN"/>
              </w:rPr>
              <w:t>单价（元）下浮比例同总价下浮比例一致。</w:t>
            </w:r>
          </w:p>
        </w:tc>
      </w:tr>
    </w:tbl>
    <w:p w14:paraId="47F4F77E">
      <w:pPr>
        <w:ind w:left="720" w:firstLine="480"/>
        <w:rPr>
          <w:rFonts w:hint="default"/>
          <w:sz w:val="24"/>
          <w:szCs w:val="24"/>
          <w:lang w:val="en-US" w:eastAsia="zh-CN"/>
        </w:rPr>
      </w:pPr>
      <w:r>
        <w:rPr>
          <w:rFonts w:hint="eastAsia" w:cs="Times New Roman"/>
          <w:sz w:val="28"/>
          <w:szCs w:val="28"/>
        </w:rPr>
        <w:t>采购人：宁夏交通科学研究所有限公司                   监督人员</w:t>
      </w:r>
      <w:r>
        <w:rPr>
          <w:rFonts w:hint="eastAsia" w:cs="Times New Roman"/>
          <w:sz w:val="28"/>
          <w:szCs w:val="28"/>
          <w:lang w:eastAsia="zh-CN"/>
        </w:rPr>
        <w:t>：</w:t>
      </w:r>
      <w:r>
        <w:rPr>
          <w:rFonts w:hint="eastAsia" w:cs="Times New Roman"/>
          <w:sz w:val="28"/>
          <w:szCs w:val="28"/>
          <w:lang w:val="en-US" w:eastAsia="zh-CN"/>
        </w:rPr>
        <w:t xml:space="preserve">               工作人员：</w:t>
      </w:r>
    </w:p>
    <w:p w14:paraId="08F8E5A6">
      <w:pPr>
        <w:pStyle w:val="2"/>
        <w:rPr>
          <w:rFonts w:hint="default"/>
          <w:lang w:val="en-US" w:eastAsia="zh-CN"/>
        </w:rPr>
      </w:pPr>
    </w:p>
    <w:sectPr>
      <w:pgSz w:w="16838" w:h="11906" w:orient="landscape"/>
      <w:pgMar w:top="1134" w:right="1134" w:bottom="1134" w:left="1134" w:header="851" w:footer="992" w:gutter="0"/>
      <w:pgBorders>
        <w:top w:val="none" w:sz="0" w:space="0"/>
        <w:left w:val="none" w:sz="0" w:space="0"/>
        <w:bottom w:val="none" w:sz="0" w:space="0"/>
        <w:right w:val="none" w:sz="0" w:space="0"/>
      </w:pgBorders>
      <w:cols w:space="0" w:num="1"/>
      <w:rtlGutter w:val="0"/>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2"/>
  <w:drawingGridVerticalSpacing w:val="160"/>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jM1YWU2NjcyNGRhMWY4NjI2ZTBjMTE3ZDNmMzc1NDAifQ=="/>
    <w:docVar w:name="KSO_WPS_MARK_KEY" w:val="507ba383-1ac0-4ac7-8d52-27a9e50deedb"/>
  </w:docVars>
  <w:rsids>
    <w:rsidRoot w:val="00172A27"/>
    <w:rsid w:val="0002347D"/>
    <w:rsid w:val="000450E9"/>
    <w:rsid w:val="0005419A"/>
    <w:rsid w:val="000B1E32"/>
    <w:rsid w:val="00107CDF"/>
    <w:rsid w:val="00113DB6"/>
    <w:rsid w:val="00120002"/>
    <w:rsid w:val="00154E04"/>
    <w:rsid w:val="00164D77"/>
    <w:rsid w:val="00172A27"/>
    <w:rsid w:val="0017321D"/>
    <w:rsid w:val="00176A5B"/>
    <w:rsid w:val="001868F4"/>
    <w:rsid w:val="00197EBD"/>
    <w:rsid w:val="001A08CC"/>
    <w:rsid w:val="001A19D9"/>
    <w:rsid w:val="001E18ED"/>
    <w:rsid w:val="0022165A"/>
    <w:rsid w:val="00222976"/>
    <w:rsid w:val="002238D9"/>
    <w:rsid w:val="002D2CAD"/>
    <w:rsid w:val="002E5490"/>
    <w:rsid w:val="002E72CD"/>
    <w:rsid w:val="002F2017"/>
    <w:rsid w:val="003167AC"/>
    <w:rsid w:val="0031726C"/>
    <w:rsid w:val="00334C5A"/>
    <w:rsid w:val="00343632"/>
    <w:rsid w:val="00362C08"/>
    <w:rsid w:val="003A5D9A"/>
    <w:rsid w:val="003B6A34"/>
    <w:rsid w:val="003C15C6"/>
    <w:rsid w:val="003E3098"/>
    <w:rsid w:val="003E678A"/>
    <w:rsid w:val="003F3FB8"/>
    <w:rsid w:val="003F4F78"/>
    <w:rsid w:val="003F4F92"/>
    <w:rsid w:val="004019DA"/>
    <w:rsid w:val="00430947"/>
    <w:rsid w:val="00477D0A"/>
    <w:rsid w:val="004A071E"/>
    <w:rsid w:val="004F1851"/>
    <w:rsid w:val="00501CB9"/>
    <w:rsid w:val="00506C00"/>
    <w:rsid w:val="00517A81"/>
    <w:rsid w:val="00533C58"/>
    <w:rsid w:val="00591DAF"/>
    <w:rsid w:val="005C516D"/>
    <w:rsid w:val="005E467E"/>
    <w:rsid w:val="005F2B4A"/>
    <w:rsid w:val="006349E1"/>
    <w:rsid w:val="006407A4"/>
    <w:rsid w:val="006425C1"/>
    <w:rsid w:val="00647C81"/>
    <w:rsid w:val="006714D3"/>
    <w:rsid w:val="006956ED"/>
    <w:rsid w:val="006B0BF0"/>
    <w:rsid w:val="006F3A8E"/>
    <w:rsid w:val="007111D8"/>
    <w:rsid w:val="007179D3"/>
    <w:rsid w:val="00724730"/>
    <w:rsid w:val="00737352"/>
    <w:rsid w:val="007424F6"/>
    <w:rsid w:val="00774407"/>
    <w:rsid w:val="007B12B3"/>
    <w:rsid w:val="007C492F"/>
    <w:rsid w:val="007D034F"/>
    <w:rsid w:val="007F558C"/>
    <w:rsid w:val="008046DD"/>
    <w:rsid w:val="00812CD4"/>
    <w:rsid w:val="008213AA"/>
    <w:rsid w:val="008538AC"/>
    <w:rsid w:val="00862FB0"/>
    <w:rsid w:val="00866654"/>
    <w:rsid w:val="0086680E"/>
    <w:rsid w:val="00882C86"/>
    <w:rsid w:val="00894537"/>
    <w:rsid w:val="009157D6"/>
    <w:rsid w:val="00940948"/>
    <w:rsid w:val="0097117B"/>
    <w:rsid w:val="009719C0"/>
    <w:rsid w:val="00984E4D"/>
    <w:rsid w:val="00997D9A"/>
    <w:rsid w:val="009C417F"/>
    <w:rsid w:val="009E0BBD"/>
    <w:rsid w:val="00A01426"/>
    <w:rsid w:val="00A132FB"/>
    <w:rsid w:val="00A167B2"/>
    <w:rsid w:val="00A238EE"/>
    <w:rsid w:val="00A2585C"/>
    <w:rsid w:val="00A518C6"/>
    <w:rsid w:val="00A65E96"/>
    <w:rsid w:val="00AA4B92"/>
    <w:rsid w:val="00AB4996"/>
    <w:rsid w:val="00AB4E92"/>
    <w:rsid w:val="00AD09F8"/>
    <w:rsid w:val="00AD46A3"/>
    <w:rsid w:val="00AF5811"/>
    <w:rsid w:val="00B15721"/>
    <w:rsid w:val="00B36245"/>
    <w:rsid w:val="00B55C49"/>
    <w:rsid w:val="00B609A4"/>
    <w:rsid w:val="00B6105C"/>
    <w:rsid w:val="00B82A93"/>
    <w:rsid w:val="00B913B1"/>
    <w:rsid w:val="00BB7765"/>
    <w:rsid w:val="00BC7C3D"/>
    <w:rsid w:val="00C307DC"/>
    <w:rsid w:val="00C45F37"/>
    <w:rsid w:val="00C82376"/>
    <w:rsid w:val="00C91324"/>
    <w:rsid w:val="00CC1FB1"/>
    <w:rsid w:val="00CF5A6E"/>
    <w:rsid w:val="00D24284"/>
    <w:rsid w:val="00DB05F1"/>
    <w:rsid w:val="00DC4BA9"/>
    <w:rsid w:val="00DC7974"/>
    <w:rsid w:val="00DD75D9"/>
    <w:rsid w:val="00DF1AD0"/>
    <w:rsid w:val="00E01222"/>
    <w:rsid w:val="00E1269E"/>
    <w:rsid w:val="00E34DAE"/>
    <w:rsid w:val="00E36876"/>
    <w:rsid w:val="00E53885"/>
    <w:rsid w:val="00E57E3F"/>
    <w:rsid w:val="00EA7BB6"/>
    <w:rsid w:val="00EC73D3"/>
    <w:rsid w:val="00EE6D44"/>
    <w:rsid w:val="00EE7CA0"/>
    <w:rsid w:val="00EF1493"/>
    <w:rsid w:val="00EF6F43"/>
    <w:rsid w:val="00F616C3"/>
    <w:rsid w:val="00FB20F1"/>
    <w:rsid w:val="00FC00DF"/>
    <w:rsid w:val="00FC524F"/>
    <w:rsid w:val="00FC6201"/>
    <w:rsid w:val="00FF62B6"/>
    <w:rsid w:val="01893FFB"/>
    <w:rsid w:val="01B42948"/>
    <w:rsid w:val="02397F74"/>
    <w:rsid w:val="023C6A1F"/>
    <w:rsid w:val="02697D40"/>
    <w:rsid w:val="035547A3"/>
    <w:rsid w:val="037956BB"/>
    <w:rsid w:val="056169D7"/>
    <w:rsid w:val="06AA2814"/>
    <w:rsid w:val="070A357C"/>
    <w:rsid w:val="090D0A22"/>
    <w:rsid w:val="0A465B8E"/>
    <w:rsid w:val="0A8B0F61"/>
    <w:rsid w:val="0B5346A2"/>
    <w:rsid w:val="0BA40681"/>
    <w:rsid w:val="0BF57579"/>
    <w:rsid w:val="0C0544CC"/>
    <w:rsid w:val="0DBA6624"/>
    <w:rsid w:val="0E426D2F"/>
    <w:rsid w:val="0E82435A"/>
    <w:rsid w:val="0F2F7CC1"/>
    <w:rsid w:val="0FEB2435"/>
    <w:rsid w:val="11253237"/>
    <w:rsid w:val="12472434"/>
    <w:rsid w:val="12672BED"/>
    <w:rsid w:val="12750A64"/>
    <w:rsid w:val="12BB03C6"/>
    <w:rsid w:val="13211843"/>
    <w:rsid w:val="16637409"/>
    <w:rsid w:val="176E20C3"/>
    <w:rsid w:val="17770999"/>
    <w:rsid w:val="185D7A2D"/>
    <w:rsid w:val="1A4743E4"/>
    <w:rsid w:val="1B970022"/>
    <w:rsid w:val="1BDA04DB"/>
    <w:rsid w:val="1C0B5533"/>
    <w:rsid w:val="1D344C11"/>
    <w:rsid w:val="1D365BE3"/>
    <w:rsid w:val="1DEA2AB4"/>
    <w:rsid w:val="1EBF4E26"/>
    <w:rsid w:val="20993E5F"/>
    <w:rsid w:val="20CC44D2"/>
    <w:rsid w:val="21C747EF"/>
    <w:rsid w:val="21CE5D30"/>
    <w:rsid w:val="22223FA5"/>
    <w:rsid w:val="223571CD"/>
    <w:rsid w:val="226E2784"/>
    <w:rsid w:val="22DA7AA0"/>
    <w:rsid w:val="242F6B10"/>
    <w:rsid w:val="24F10B3C"/>
    <w:rsid w:val="250C32D4"/>
    <w:rsid w:val="25150CE0"/>
    <w:rsid w:val="25395E6A"/>
    <w:rsid w:val="25506803"/>
    <w:rsid w:val="25B768BB"/>
    <w:rsid w:val="276462CA"/>
    <w:rsid w:val="27E66B39"/>
    <w:rsid w:val="2874236C"/>
    <w:rsid w:val="2A1F3308"/>
    <w:rsid w:val="2AC80F99"/>
    <w:rsid w:val="2C1E7369"/>
    <w:rsid w:val="2E8A57EA"/>
    <w:rsid w:val="2F4C670F"/>
    <w:rsid w:val="30217958"/>
    <w:rsid w:val="30C14BDE"/>
    <w:rsid w:val="31FC63A0"/>
    <w:rsid w:val="32272DCA"/>
    <w:rsid w:val="32326807"/>
    <w:rsid w:val="324C5B30"/>
    <w:rsid w:val="33D812E6"/>
    <w:rsid w:val="342F008F"/>
    <w:rsid w:val="34B72CA3"/>
    <w:rsid w:val="36E47B9D"/>
    <w:rsid w:val="36E63330"/>
    <w:rsid w:val="37C03A20"/>
    <w:rsid w:val="37CA67C0"/>
    <w:rsid w:val="382D5F12"/>
    <w:rsid w:val="397B655D"/>
    <w:rsid w:val="39C42C58"/>
    <w:rsid w:val="39EF7ACC"/>
    <w:rsid w:val="3A7F7554"/>
    <w:rsid w:val="3C1C7DAA"/>
    <w:rsid w:val="3C952FF5"/>
    <w:rsid w:val="3D457445"/>
    <w:rsid w:val="40EC76EA"/>
    <w:rsid w:val="42C9612C"/>
    <w:rsid w:val="42DC790B"/>
    <w:rsid w:val="447B522A"/>
    <w:rsid w:val="462A5B0A"/>
    <w:rsid w:val="462B59EC"/>
    <w:rsid w:val="46764128"/>
    <w:rsid w:val="46D44874"/>
    <w:rsid w:val="472738A0"/>
    <w:rsid w:val="49474073"/>
    <w:rsid w:val="4A186D85"/>
    <w:rsid w:val="4A7215BD"/>
    <w:rsid w:val="4AD97C79"/>
    <w:rsid w:val="4B1E03CD"/>
    <w:rsid w:val="4CAE0C3D"/>
    <w:rsid w:val="4D19347A"/>
    <w:rsid w:val="4D856DE1"/>
    <w:rsid w:val="4F1E22C3"/>
    <w:rsid w:val="50641063"/>
    <w:rsid w:val="537F622C"/>
    <w:rsid w:val="573A1EDC"/>
    <w:rsid w:val="57EF7117"/>
    <w:rsid w:val="59392552"/>
    <w:rsid w:val="5990372C"/>
    <w:rsid w:val="59A12F8D"/>
    <w:rsid w:val="59C80556"/>
    <w:rsid w:val="5A60656A"/>
    <w:rsid w:val="5BB42458"/>
    <w:rsid w:val="5D6C5006"/>
    <w:rsid w:val="5DB84F1E"/>
    <w:rsid w:val="610B6B74"/>
    <w:rsid w:val="61734C99"/>
    <w:rsid w:val="62C714BC"/>
    <w:rsid w:val="64087BA8"/>
    <w:rsid w:val="65BA6D8B"/>
    <w:rsid w:val="667678A1"/>
    <w:rsid w:val="6699393C"/>
    <w:rsid w:val="681E00FA"/>
    <w:rsid w:val="69F83857"/>
    <w:rsid w:val="6A352CCF"/>
    <w:rsid w:val="6BA85E14"/>
    <w:rsid w:val="6D6C0E2A"/>
    <w:rsid w:val="6E230BA7"/>
    <w:rsid w:val="6E502713"/>
    <w:rsid w:val="6F6C489B"/>
    <w:rsid w:val="712D72BF"/>
    <w:rsid w:val="716C2A69"/>
    <w:rsid w:val="732A3FF1"/>
    <w:rsid w:val="75CE061A"/>
    <w:rsid w:val="77B84A6D"/>
    <w:rsid w:val="77B95F79"/>
    <w:rsid w:val="783130A8"/>
    <w:rsid w:val="78541609"/>
    <w:rsid w:val="78741E1D"/>
    <w:rsid w:val="788C4E8E"/>
    <w:rsid w:val="7A69691C"/>
    <w:rsid w:val="7AE76131"/>
    <w:rsid w:val="7D6368C9"/>
    <w:rsid w:val="7E5F7E3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link w:val="13"/>
    <w:qFormat/>
    <w:uiPriority w:val="0"/>
    <w:pPr>
      <w:keepNext/>
      <w:keepLines/>
      <w:spacing w:before="340" w:after="330" w:line="578" w:lineRule="auto"/>
      <w:outlineLvl w:val="0"/>
    </w:pPr>
    <w:rPr>
      <w:b/>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line="240" w:lineRule="auto"/>
    </w:pPr>
    <w:rPr>
      <w:spacing w:val="0"/>
      <w:sz w:val="21"/>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6">
    <w:name w:val="Body Text 2"/>
    <w:basedOn w:val="1"/>
    <w:qFormat/>
    <w:uiPriority w:val="0"/>
    <w:pPr>
      <w:spacing w:after="120" w:line="480" w:lineRule="auto"/>
    </w:p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basedOn w:val="9"/>
    <w:qFormat/>
    <w:uiPriority w:val="0"/>
    <w:rPr>
      <w:b/>
    </w:rPr>
  </w:style>
  <w:style w:type="character" w:styleId="11">
    <w:name w:val="Hyperlink"/>
    <w:basedOn w:val="9"/>
    <w:qFormat/>
    <w:uiPriority w:val="0"/>
    <w:rPr>
      <w:rFonts w:cs="Times New Roman"/>
      <w:color w:val="0000FF"/>
      <w:u w:val="single"/>
    </w:rPr>
  </w:style>
  <w:style w:type="character" w:styleId="12">
    <w:name w:val="footnote reference"/>
    <w:basedOn w:val="9"/>
    <w:semiHidden/>
    <w:qFormat/>
    <w:uiPriority w:val="0"/>
    <w:rPr>
      <w:rFonts w:cs="Times New Roman"/>
      <w:vertAlign w:val="superscript"/>
    </w:rPr>
  </w:style>
  <w:style w:type="character" w:customStyle="1" w:styleId="13">
    <w:name w:val="标题 1 Char"/>
    <w:basedOn w:val="9"/>
    <w:link w:val="3"/>
    <w:qFormat/>
    <w:locked/>
    <w:uiPriority w:val="0"/>
    <w:rPr>
      <w:rFonts w:eastAsia="宋体"/>
      <w:b/>
      <w:bCs/>
      <w:kern w:val="44"/>
      <w:sz w:val="44"/>
      <w:szCs w:val="44"/>
      <w:lang w:val="en-US" w:eastAsia="zh-CN" w:bidi="ar-SA"/>
    </w:rPr>
  </w:style>
  <w:style w:type="character" w:customStyle="1" w:styleId="14">
    <w:name w:val="font01"/>
    <w:basedOn w:val="9"/>
    <w:qFormat/>
    <w:uiPriority w:val="0"/>
    <w:rPr>
      <w:rFonts w:ascii="Calibri" w:hAnsi="Calibri" w:cs="Calibri"/>
      <w:color w:val="000000"/>
      <w:sz w:val="24"/>
      <w:szCs w:val="24"/>
      <w:u w:val="none"/>
    </w:rPr>
  </w:style>
  <w:style w:type="character" w:customStyle="1" w:styleId="15">
    <w:name w:val="font2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6F257-23C1-4C97-AB7C-E246AB0392B3}">
  <ds:schemaRefs/>
</ds:datastoreItem>
</file>

<file path=docProps/app.xml><?xml version="1.0" encoding="utf-8"?>
<Properties xmlns="http://schemas.openxmlformats.org/officeDocument/2006/extended-properties" xmlns:vt="http://schemas.openxmlformats.org/officeDocument/2006/docPropsVTypes">
  <Template>Normal</Template>
  <Pages>4</Pages>
  <Words>1001</Words>
  <Characters>1045</Characters>
  <Lines>7</Lines>
  <Paragraphs>1</Paragraphs>
  <TotalTime>2</TotalTime>
  <ScaleCrop>false</ScaleCrop>
  <LinksUpToDate>false</LinksUpToDate>
  <CharactersWithSpaces>1184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2019-09-04T10:31:00Z</dcterms:created>
  <dc:creator>YangLe</dc:creator>
  <cp:lastModifiedBy>明天</cp:lastModifiedBy>
  <cp:lastPrinted>2023-04-11T04:42:00Z</cp:lastPrinted>
  <dcterms:modified xsi:type="dcterms:W3CDTF">2025-06-23T00:09:29Z</dcterms:modified>
  <dc:title>宁夏交通科研所关于青银项目驻地二办试验室</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17C39C663B1E47EA86B60DC81AE34057</vt:lpwstr>
  </property>
  <property fmtid="{D5CDD505-2E9C-101B-9397-08002B2CF9AE}" pid="4" name="commondata">
    <vt:lpwstr>eyJoZGlkIjoiM2FhNTQ4MDM5ODBmMjMwNGNjYzhkNDQzNzhlZjZjYWMifQ==</vt:lpwstr>
  </property>
  <property fmtid="{D5CDD505-2E9C-101B-9397-08002B2CF9AE}" pid="5" name="KSOTemplateDocerSaveRecord">
    <vt:lpwstr>eyJoZGlkIjoiNWUyNjk3YjQyZTg0ZTdiMGI3ZDZjYzkwM2VmOTUxYTQiLCJ1c2VySWQiOiI0NDY2MTAzNDYifQ==</vt:lpwstr>
  </property>
</Properties>
</file>