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路面工程劳务供应商备选库：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经我公司研究，为确保做好高速公路桥梁设施维修工作，我公司邀请贵单位于</w:t>
      </w:r>
      <w:r>
        <w:rPr>
          <w:rFonts w:hint="eastAsia" w:hAnsi="宋体"/>
          <w:b w:val="0"/>
          <w:bCs/>
          <w:color w:val="FF0000"/>
          <w:sz w:val="32"/>
          <w:szCs w:val="32"/>
          <w:u w:val="single"/>
          <w:lang w:val="en-US" w:eastAsia="zh-CN"/>
        </w:rPr>
        <w:t>2026年6月21日10点30分</w:t>
      </w:r>
      <w:r>
        <w:rPr>
          <w:rFonts w:hint="eastAsia" w:hAnsi="宋体"/>
          <w:b w:val="0"/>
          <w:bCs/>
          <w:sz w:val="32"/>
          <w:szCs w:val="32"/>
          <w:lang w:val="en-US" w:eastAsia="zh-CN"/>
        </w:rPr>
        <w:t>参加宁夏交通科学研究所有限公司2026年日常养护路面维修处治劳务服务采购项目（第一批）竞价活动。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本项目划分为1个标段：宁夏交通科学研究所有限公司2026年日常养护路面维修处治劳务服务采购项目（第一批）。</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（三）本次总限价为：90913.17元。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五、供应商进场前必须完成72学时安全教育培训、完成所有劳务及进场人员录入工伤保险系统、完成购买100万元人身意外保险。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做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2026年6月20日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项目名称：宁夏交通科学研究所有限公司2026年日常养护路面维修处治劳务服务采购项目（第一批）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项目名称：宁夏交通科学研究所有限公司2026年日常养护路面维修处治劳务服务采购项目（第一批）</w:t>
      </w:r>
      <w:bookmarkStart w:id="0" w:name="_GoBack"/>
      <w:bookmarkEnd w:id="0"/>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87D26B9"/>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9511B85"/>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7F613A1"/>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1A6CC1"/>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45430A"/>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976</Words>
  <Characters>1019</Characters>
  <Lines>7</Lines>
  <Paragraphs>1</Paragraphs>
  <TotalTime>1</TotalTime>
  <ScaleCrop>false</ScaleCrop>
  <LinksUpToDate>false</LinksUpToDate>
  <CharactersWithSpaces>1156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2026-06-20T03:23:31Z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